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6"/>
        <w:ind w:firstLine="720"/>
        <w:jc w:val="center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ПОЯСНИТЕЛЬНАЯ ЗАПИСКА</w:t>
      </w:r>
      <w:r/>
    </w:p>
    <w:p>
      <w:pPr>
        <w:pStyle w:val="886"/>
        <w:ind w:firstLine="720"/>
        <w:jc w:val="center"/>
        <w:rPr>
          <w:rFonts w:ascii="PT Astra Serif" w:hAnsi="PT Astra Serif" w:cs="PT Astra Serif"/>
          <w:spacing w:val="-6"/>
          <w:sz w:val="28"/>
          <w:szCs w:val="28"/>
          <w:highlight w:val="white"/>
        </w:rPr>
      </w:pPr>
      <w:r>
        <w:rPr>
          <w:rFonts w:ascii="PT Astra Serif" w:hAnsi="PT Astra Serif" w:cs="PT Astra Serif"/>
          <w:spacing w:val="-6"/>
          <w:sz w:val="28"/>
          <w:szCs w:val="28"/>
          <w:highlight w:val="white"/>
        </w:rPr>
        <w:t xml:space="preserve">к отчету об исполнении консолидированного бюджета</w:t>
      </w:r>
      <w:r/>
    </w:p>
    <w:p>
      <w:pPr>
        <w:pStyle w:val="886"/>
        <w:ind w:firstLine="720"/>
        <w:jc w:val="center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pacing w:val="-6"/>
          <w:sz w:val="28"/>
          <w:szCs w:val="28"/>
          <w:highlight w:val="white"/>
        </w:rPr>
        <w:t xml:space="preserve">Саратовской области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на 1 января 2024 года</w:t>
      </w:r>
      <w:r/>
    </w:p>
    <w:p>
      <w:pPr>
        <w:pStyle w:val="886"/>
        <w:ind w:firstLine="720"/>
        <w:jc w:val="center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/>
    </w:p>
    <w:p>
      <w:pPr>
        <w:pStyle w:val="886"/>
        <w:ind w:firstLine="720"/>
        <w:jc w:val="center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/>
    </w:p>
    <w:p>
      <w:pPr>
        <w:pStyle w:val="886"/>
        <w:ind w:firstLine="720"/>
        <w:jc w:val="center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/>
    </w:p>
    <w:p>
      <w:pPr>
        <w:pStyle w:val="886"/>
        <w:ind w:firstLine="720"/>
        <w:jc w:val="center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</w:r>
      <w:r/>
    </w:p>
    <w:tbl>
      <w:tblPr>
        <w:tblW w:w="9411" w:type="dxa"/>
        <w:tblInd w:w="91" w:type="dxa"/>
        <w:tblLook w:val="04A0" w:firstRow="1" w:lastRow="0" w:firstColumn="1" w:lastColumn="0" w:noHBand="0" w:noVBand="1"/>
      </w:tblPr>
      <w:tblGrid>
        <w:gridCol w:w="2756"/>
        <w:gridCol w:w="3415"/>
        <w:gridCol w:w="1873"/>
        <w:gridCol w:w="1367"/>
      </w:tblGrid>
      <w:tr>
        <w:trPr>
          <w:trHeight w:val="313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6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W w:w="1873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white"/>
              </w:rPr>
              <w:t xml:space="preserve">КОДЫ</w:t>
            </w:r>
            <w:r/>
          </w:p>
        </w:tc>
      </w:tr>
      <w:tr>
        <w:trPr>
          <w:trHeight w:val="223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6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5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white"/>
              </w:rPr>
              <w:t xml:space="preserve">Форма по ОКУД</w:t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white"/>
              </w:rPr>
              <w:t xml:space="preserve">0503360</w:t>
            </w:r>
            <w:r/>
          </w:p>
        </w:tc>
      </w:tr>
      <w:tr>
        <w:trPr>
          <w:trHeight w:val="26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6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5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white"/>
              </w:rPr>
              <w:t xml:space="preserve">Дата</w:t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white"/>
                <w:lang w:val="en-US"/>
              </w:rPr>
              <w:t xml:space="preserve">01</w:t>
            </w:r>
            <w:r>
              <w:rPr>
                <w:rFonts w:ascii="PT Astra Serif" w:hAnsi="PT Astra Serif" w:cs="PT Astra Serif"/>
                <w:sz w:val="24"/>
                <w:szCs w:val="24"/>
                <w:highlight w:val="white"/>
              </w:rPr>
              <w:t xml:space="preserve">.01.20</w:t>
            </w:r>
            <w:r>
              <w:rPr>
                <w:rFonts w:ascii="PT Astra Serif" w:hAnsi="PT Astra Serif" w:cs="PT Astra Serif"/>
                <w:sz w:val="24"/>
                <w:szCs w:val="24"/>
                <w:highlight w:val="white"/>
                <w:lang w:val="en-US"/>
              </w:rPr>
              <w:t xml:space="preserve">2</w:t>
            </w:r>
            <w:r>
              <w:rPr>
                <w:rFonts w:ascii="PT Astra Serif" w:hAnsi="PT Astra Serif" w:cs="PT Astra Serif"/>
                <w:sz w:val="24"/>
                <w:szCs w:val="24"/>
                <w:highlight w:val="white"/>
              </w:rPr>
              <w:t xml:space="preserve">4</w:t>
            </w:r>
            <w:r/>
          </w:p>
        </w:tc>
      </w:tr>
      <w:tr>
        <w:trPr>
          <w:trHeight w:val="37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6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5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white"/>
              </w:rPr>
              <w:t xml:space="preserve">по ОКПО</w:t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r>
            <w:r/>
          </w:p>
        </w:tc>
      </w:tr>
      <w:tr>
        <w:trPr>
          <w:trHeight w:val="223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6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Наименование финансового органа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15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Министерство финансов Саратовской области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white"/>
              </w:rPr>
              <w:t xml:space="preserve">Глава по БК</w:t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r>
            <w:r/>
          </w:p>
        </w:tc>
      </w:tr>
      <w:tr>
        <w:trPr>
          <w:trHeight w:val="29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6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Наименование бюджета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15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Консолидированный бюджет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white"/>
              </w:rPr>
              <w:t xml:space="preserve">по ОКТМО</w:t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white"/>
              </w:rPr>
              <w:t xml:space="preserve">63701000</w:t>
            </w:r>
            <w:r/>
          </w:p>
        </w:tc>
      </w:tr>
      <w:tr>
        <w:trPr>
          <w:trHeight w:val="298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71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Периодичность: годовая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r>
            <w:r/>
          </w:p>
        </w:tc>
      </w:tr>
      <w:tr>
        <w:trPr>
          <w:trHeight w:val="298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71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Единица измерения: руб.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3" w:type="dxa"/>
            <w:vAlign w:val="center"/>
            <w:textDirection w:val="lrTb"/>
            <w:noWrap/>
          </w:tcPr>
          <w:p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white"/>
              </w:rPr>
              <w:t xml:space="preserve">по ОКЕИ</w:t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white"/>
              </w:rPr>
              <w:t xml:space="preserve">383</w:t>
            </w:r>
            <w:r/>
          </w:p>
        </w:tc>
      </w:tr>
    </w:tbl>
    <w:p>
      <w:pPr>
        <w:jc w:val="center"/>
        <w:rPr>
          <w:rFonts w:ascii="PT Astra Serif" w:hAnsi="PT Astra Serif" w:cs="PT Astra Serif"/>
          <w:b/>
          <w:bCs/>
          <w:sz w:val="28"/>
          <w:szCs w:val="28"/>
          <w:highlight w:val="yellow"/>
        </w:rPr>
      </w:pPr>
      <w:r>
        <w:rPr>
          <w:rFonts w:ascii="PT Astra Serif" w:hAnsi="PT Astra Serif" w:cs="PT Astra Serif"/>
          <w:b/>
          <w:bCs/>
          <w:sz w:val="28"/>
          <w:szCs w:val="28"/>
          <w:highlight w:val="yellow"/>
        </w:rPr>
      </w:r>
      <w:r/>
    </w:p>
    <w:p>
      <w:pPr>
        <w:jc w:val="center"/>
        <w:spacing w:line="245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  <w:highlight w:val="white"/>
        </w:rPr>
        <w:t xml:space="preserve">Раздел 1 «Организационная структура субъекта бюджетной отчетности»</w:t>
      </w:r>
      <w:r/>
    </w:p>
    <w:p>
      <w:pPr>
        <w:ind w:firstLine="720"/>
        <w:jc w:val="center"/>
        <w:spacing w:line="245" w:lineRule="auto"/>
        <w:rPr>
          <w:rFonts w:ascii="PT Astra Serif" w:hAnsi="PT Astra Serif" w:cs="PT Astra Serif"/>
          <w:b/>
          <w:bCs/>
          <w:sz w:val="28"/>
          <w:szCs w:val="28"/>
          <w:highlight w:val="white"/>
        </w:rPr>
      </w:pPr>
      <w:r>
        <w:rPr>
          <w:rFonts w:ascii="PT Astra Serif" w:hAnsi="PT Astra Serif" w:cs="PT Astra Serif"/>
          <w:b/>
          <w:bCs/>
          <w:sz w:val="28"/>
          <w:szCs w:val="28"/>
          <w:highlight w:val="white"/>
        </w:rPr>
      </w:r>
      <w:r/>
    </w:p>
    <w:p>
      <w:pPr>
        <w:ind w:left="-425" w:firstLine="720"/>
        <w:jc w:val="both"/>
        <w:spacing w:line="245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В соответствии с бюджетным законодательством Саратовской области министерство финансов Саратовской области является уполномоченным органом по составлению годовой бюджетной отчетности об исполнении консолидированного бюджета Саратовской области.</w:t>
      </w:r>
      <w:r/>
    </w:p>
    <w:p>
      <w:pPr>
        <w:ind w:left="-425" w:firstLine="72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t xml:space="preserve">Годовая бюд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t xml:space="preserve">жетная отчетность за 2023 год составлена на основании соответствующей бюджетной отчетности 43 главных распорядителей средств областного бюджета, консолидированной отчетности финансовых органов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br/>
        <w:t xml:space="preserve">37 муниципальных районов области и отчетности финансовых орган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t xml:space="preserve">ов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br/>
        <w:t xml:space="preserve">4-х городских округов области, Территориального фонда обязательного медицинского страхования Саратовской области.</w:t>
      </w:r>
      <w:r/>
    </w:p>
    <w:p>
      <w:pPr>
        <w:ind w:left="-425" w:firstLine="720"/>
        <w:jc w:val="both"/>
        <w:spacing w:line="245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  <w:szCs w:val="28"/>
        </w:rPr>
        <w:t xml:space="preserve">По состоянию на 1 января 2023 года на территории области функционировало 1054 участника бюджетного процесса и 2175 областных и муниципальн</w:t>
      </w:r>
      <w:r>
        <w:rPr>
          <w:rFonts w:ascii="PT Astra Serif" w:hAnsi="PT Astra Serif" w:cs="PT Astra Serif"/>
          <w:sz w:val="28"/>
          <w:szCs w:val="28"/>
        </w:rPr>
        <w:t xml:space="preserve">ых бюджетных и автономных учреждений, 151 унитарное предприятие, в том числе 5 государственных и 146 муниципальных унитарных предприятий.</w:t>
      </w:r>
      <w:r/>
    </w:p>
    <w:p>
      <w:pPr>
        <w:ind w:left="-425" w:firstLine="720"/>
        <w:jc w:val="both"/>
        <w:spacing w:line="245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  <w:szCs w:val="28"/>
        </w:rPr>
        <w:t xml:space="preserve">В течение 2023 года за счет проводимых мер по оптимизации сети учреждений бюджетной сферы общее количество </w:t>
      </w:r>
      <w:r>
        <w:rPr>
          <w:rFonts w:ascii="PT Astra Serif" w:hAnsi="PT Astra Serif" w:cs="PT Astra Serif"/>
          <w:sz w:val="28"/>
          <w:szCs w:val="28"/>
        </w:rPr>
        <w:t xml:space="preserve">бюджетных и автономных учреждений сократилось на 132 единицы. Общее число участников бюджетного процесса уменьшилось на 48 единиц. Общее число государственных (муниципальных) унитарных предприятий сократилось на 2 единице.</w:t>
      </w:r>
      <w:r/>
    </w:p>
    <w:p>
      <w:pPr>
        <w:ind w:left="-426" w:firstLine="720"/>
        <w:jc w:val="both"/>
        <w:spacing w:line="245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  <w:szCs w:val="28"/>
        </w:rPr>
        <w:t xml:space="preserve">По состоянию на 1 января 2024 год</w:t>
      </w:r>
      <w:r>
        <w:rPr>
          <w:rFonts w:ascii="PT Astra Serif" w:hAnsi="PT Astra Serif" w:cs="PT Astra Serif"/>
          <w:sz w:val="28"/>
          <w:szCs w:val="28"/>
        </w:rPr>
        <w:t xml:space="preserve">а на территории области функционировало 1006 участников бюджетного процесса области и органов местного самоуправления и 2043 бюджетных и автономных областных и муниципальных учреждений, 149 унитарных предприятий, в том числе 5 государственных и 144 муницип</w:t>
      </w:r>
      <w:r>
        <w:rPr>
          <w:rFonts w:ascii="PT Astra Serif" w:hAnsi="PT Astra Serif" w:cs="PT Astra Serif"/>
          <w:sz w:val="28"/>
          <w:szCs w:val="28"/>
        </w:rPr>
        <w:t xml:space="preserve">альных унитарных предприятий.</w:t>
      </w:r>
      <w:r/>
    </w:p>
    <w:p>
      <w:pPr>
        <w:jc w:val="center"/>
        <w:spacing w:line="245" w:lineRule="auto"/>
        <w:rPr>
          <w:rFonts w:ascii="PT Astra Serif" w:hAnsi="PT Astra Serif" w:cs="PT Astra Serif"/>
          <w:b/>
          <w:bCs/>
          <w:sz w:val="28"/>
          <w:szCs w:val="28"/>
          <w:highlight w:val="white"/>
        </w:rPr>
      </w:pPr>
      <w:r>
        <w:rPr>
          <w:rFonts w:ascii="PT Astra Serif" w:hAnsi="PT Astra Serif" w:cs="PT Astra Serif"/>
          <w:b/>
          <w:bCs/>
          <w:sz w:val="28"/>
          <w:szCs w:val="28"/>
          <w:highlight w:val="white"/>
        </w:rPr>
      </w:r>
      <w:r/>
    </w:p>
    <w:p>
      <w:pPr>
        <w:jc w:val="center"/>
        <w:spacing w:line="245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  <w:highlight w:val="white"/>
        </w:rPr>
        <w:t xml:space="preserve">Раздел 2 «Результаты деятельности субъекта бюджетной отчетности»</w:t>
      </w:r>
      <w:r/>
    </w:p>
    <w:p>
      <w:pPr>
        <w:jc w:val="center"/>
        <w:spacing w:line="245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</w:r>
      <w:r/>
    </w:p>
    <w:p>
      <w:pPr>
        <w:ind w:firstLine="700"/>
        <w:jc w:val="both"/>
        <w:spacing w:line="245" w:lineRule="auto"/>
        <w:shd w:val="clear" w:color="auto" w:fill="ffffff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Формирование бухгалтерской отчетности о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существляется в соответствии с приказами Министерства финансов Российской Федерации от 28 декабря 2010 года № 191н «Об утверждении Инструкции о порядке составления и представления годовой, квартальной и месячной отчетности об исполнении бюджетов бюджетной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системы Российской Федерации», от 25 марта 2011 года </w:t>
      </w:r>
      <w:r>
        <w:rPr>
          <w:rFonts w:ascii="PT Astra Serif" w:hAnsi="PT Astra Serif" w:cs="PT Astra Serif"/>
          <w:sz w:val="28"/>
          <w:szCs w:val="28"/>
          <w:highlight w:val="white"/>
        </w:rPr>
        <w:br/>
        <w:t xml:space="preserve">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учреждений», действующими федер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альными стандартами.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pacing w:val="-6"/>
          <w:sz w:val="28"/>
          <w:szCs w:val="28"/>
          <w:highlight w:val="white"/>
        </w:rPr>
      </w:pPr>
      <w:r>
        <w:rPr>
          <w:rFonts w:ascii="PT Astra Serif" w:hAnsi="PT Astra Serif" w:cs="PT Astra Serif"/>
          <w:spacing w:val="-6"/>
          <w:sz w:val="28"/>
          <w:szCs w:val="28"/>
          <w:highlight w:val="white"/>
        </w:rPr>
        <w:t xml:space="preserve">В целях повышения эффективности расходования бюджетных средств субъектами бюджетной отчетности приняты распорядительные документы по применению энергосберегающей технологии (установка счетчиков воды и тепла), установлению лимитов на ус</w:t>
      </w:r>
      <w:r>
        <w:rPr>
          <w:rFonts w:ascii="PT Astra Serif" w:hAnsi="PT Astra Serif" w:cs="PT Astra Serif"/>
          <w:spacing w:val="-6"/>
          <w:sz w:val="28"/>
          <w:szCs w:val="28"/>
          <w:highlight w:val="white"/>
        </w:rPr>
        <w:t xml:space="preserve">луги сотовой связи, введению нормативов при обеспечении канцелярскими принадлежностями и основными средствами, осуществлению контроля за ведением междугородных переговоров сотрудников и т.д.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pacing w:val="-6"/>
          <w:sz w:val="28"/>
          <w:szCs w:val="28"/>
          <w:highlight w:val="yellow"/>
        </w:rPr>
      </w:pPr>
      <w:r>
        <w:rPr>
          <w:rFonts w:ascii="PT Astra Serif" w:hAnsi="PT Astra Serif" w:cs="PT Astra Serif"/>
          <w:spacing w:val="-6"/>
          <w:sz w:val="28"/>
          <w:szCs w:val="28"/>
          <w:highlight w:val="yellow"/>
        </w:rPr>
      </w:r>
      <w:r/>
    </w:p>
    <w:p>
      <w:pPr>
        <w:jc w:val="center"/>
        <w:spacing w:line="245" w:lineRule="auto"/>
        <w:rPr>
          <w:rFonts w:ascii="PT Astra Serif" w:hAnsi="PT Astra Serif" w:cs="PT Astra Serif"/>
          <w:b/>
          <w:sz w:val="28"/>
          <w:szCs w:val="28"/>
          <w:highlight w:val="white"/>
        </w:rPr>
      </w:pPr>
      <w:r>
        <w:rPr>
          <w:rFonts w:ascii="PT Astra Serif" w:hAnsi="PT Astra Serif" w:cs="PT Astra Serif"/>
          <w:b/>
          <w:sz w:val="28"/>
          <w:szCs w:val="28"/>
          <w:highlight w:val="white"/>
        </w:rPr>
        <w:t xml:space="preserve">Раздел 3 «Анализ отчета об исполнении бюджета субъектом бюджетно</w:t>
      </w:r>
      <w:r>
        <w:rPr>
          <w:rFonts w:ascii="PT Astra Serif" w:hAnsi="PT Astra Serif" w:cs="PT Astra Serif"/>
          <w:b/>
          <w:sz w:val="28"/>
          <w:szCs w:val="28"/>
          <w:highlight w:val="white"/>
        </w:rPr>
        <w:t xml:space="preserve">й отчетности» </w:t>
      </w:r>
      <w:r/>
    </w:p>
    <w:p>
      <w:pPr>
        <w:ind w:firstLine="72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yellow"/>
        </w:rPr>
      </w:pPr>
      <w:r>
        <w:rPr>
          <w:rFonts w:ascii="PT Astra Serif" w:hAnsi="PT Astra Serif" w:cs="PT Astra Serif"/>
          <w:sz w:val="28"/>
          <w:szCs w:val="28"/>
          <w:highlight w:val="yellow"/>
        </w:rPr>
      </w:r>
      <w:r/>
    </w:p>
    <w:p>
      <w:pPr>
        <w:ind w:firstLine="72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По итогам 2023 года объем налоговых и неналоговых доходов консолидированного бюджета области (без учета Территориального фонда обязательного медицинского страхования Саратовской области (далее – ТФОМС)) составил 140871699,3 тыс. рублей и от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носительно 2022 года увеличился на 18356209 тыс. рублей, или на 13%.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Уточненные бюджетные назначения исполнены на 102,7%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Объем налога на прибыль организаций составил 39004183,5 тыс. рублей, за счет налога обеспечено 27,7</w:t>
      </w:r>
      <w:r>
        <w:rPr>
          <w:rFonts w:ascii="PT Astra Serif" w:hAnsi="PT Astra Serif" w:cs="PT Astra Serif"/>
          <w:sz w:val="28"/>
          <w:szCs w:val="28"/>
        </w:rPr>
        <w:t xml:space="preserve">% общего объема налоговых и неналоговых доходов бюджета, что на 2,6 процентных пункта выше данного показателя за 2022 год (25,1%). Относительно факта за 2022 год поступления по налогу на прибыль организаций возросли на 8202225,6 тыс. рублей, или на 26,6%. </w:t>
      </w:r>
      <w:r>
        <w:rPr>
          <w:rFonts w:ascii="PT Astra Serif" w:hAnsi="PT Astra Serif" w:cs="PT Astra Serif"/>
          <w:sz w:val="28"/>
          <w:szCs w:val="28"/>
        </w:rPr>
        <w:t xml:space="preserve">При этом налог, уплачиваемый бывшими участниками консолидированных групп налогоплательщиков (КГН), сократился на 714282,8 тыс. рублей, на 7,5%. Напротив, доходы от налога на прибыль организаций, не входивших в КГН, возросли на 8916508,4 тыс. рублей, или на</w:t>
      </w:r>
      <w:r>
        <w:rPr>
          <w:rFonts w:ascii="PT Astra Serif" w:hAnsi="PT Astra Serif" w:cs="PT Astra Serif"/>
          <w:sz w:val="28"/>
          <w:szCs w:val="28"/>
        </w:rPr>
        <w:t xml:space="preserve"> 41,8%.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Прирост по налогу на прибыль обеспечен в большей степени за счет обрабатывающих производств, где рост произошел в 1,5 раза, в том числе в производстве пищевых продуктов платежи по налогу увеличились в 1,6 раза, металлургическом производстве в 3,0 р</w:t>
      </w:r>
      <w:r>
        <w:rPr>
          <w:rFonts w:ascii="PT Astra Serif" w:hAnsi="PT Astra Serif" w:cs="PT Astra Serif"/>
          <w:sz w:val="28"/>
          <w:szCs w:val="28"/>
        </w:rPr>
        <w:t xml:space="preserve">аза, в производстве химических веществ и химических продуктов на 11,1%.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По основному для консолидированного бюджета налогу - на доходы физических лиц поступление составило 52539951,8 тыс. рублей, увеличение относительно 2022 года на 7136025, тыс. рублей, и</w:t>
      </w:r>
      <w:r>
        <w:rPr>
          <w:rFonts w:ascii="PT Astra Serif" w:hAnsi="PT Astra Serif" w:cs="PT Astra Serif"/>
          <w:sz w:val="28"/>
          <w:szCs w:val="28"/>
        </w:rPr>
        <w:t xml:space="preserve">ли на 15,7%. Структурная доля налога в общем объеме налоговых и неналоговых доходов бюджета составила 37,3%, на 0,2 процентного пункта выше данного показателя за 2022 год.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Доходы от акцизов составили 15455170,1 тыс. рублей, относительно 2022 года прирост с</w:t>
      </w:r>
      <w:r>
        <w:rPr>
          <w:rFonts w:ascii="PT Astra Serif" w:hAnsi="PT Astra Serif" w:cs="PT Astra Serif"/>
          <w:sz w:val="28"/>
          <w:szCs w:val="28"/>
        </w:rPr>
        <w:t xml:space="preserve">оставил 931648,3 тыс. рублей, или 6,4%. В том числе акцизы на алкогольную продукцию (включая спирт и спиртосодержащую продукцию) увеличились на 230508,3 тыс. рублей, или на 9,7%, акцизы на нефтепродукты – на 656006,5 тыс. рублей, или на 5,4%.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Поступление п</w:t>
      </w:r>
      <w:r>
        <w:rPr>
          <w:rFonts w:ascii="PT Astra Serif" w:hAnsi="PT Astra Serif" w:cs="PT Astra Serif"/>
          <w:sz w:val="28"/>
          <w:szCs w:val="28"/>
        </w:rPr>
        <w:t xml:space="preserve">о налогам на совокупный доход составило 9906887,9 тыс. рублей, на 225307,6 тыс. рублей, или 2,3%, выше уровня 2022 года. Вклад доходов, поступающих от применения специальных налоговых режимов сократился с 7,9% по итогам 2022 года до 7,0% в 2023 году.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Посту</w:t>
      </w:r>
      <w:r>
        <w:rPr>
          <w:rFonts w:ascii="PT Astra Serif" w:hAnsi="PT Astra Serif" w:cs="PT Astra Serif"/>
          <w:sz w:val="28"/>
          <w:szCs w:val="28"/>
        </w:rPr>
        <w:t xml:space="preserve">пление по налогу на имущество организаций составило 10003596,4 тыс. рублей, что на 437116,1 тыс. рублей, или 4,6% выше уровня 2022 года. Вклад налога в общий объем налоговых и неналоговых доходов составил 7,1% на 0,7 процентных пункта ниже данного показате</w:t>
      </w:r>
      <w:r>
        <w:rPr>
          <w:rFonts w:ascii="PT Astra Serif" w:hAnsi="PT Astra Serif" w:cs="PT Astra Serif"/>
          <w:sz w:val="28"/>
          <w:szCs w:val="28"/>
        </w:rPr>
        <w:t xml:space="preserve">ля за 2022 год.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С 2021 года по решению Саратовской областной Думы транспортный налог в полном объеме (100%) подлежит зачислению в бюджеты муниципальных районов и городских округов области. Объем поступления налога за 2023 год составил 2980811,4 тыс. рублей</w:t>
      </w:r>
      <w:r>
        <w:rPr>
          <w:rFonts w:ascii="PT Astra Serif" w:hAnsi="PT Astra Serif" w:cs="PT Astra Serif"/>
          <w:sz w:val="28"/>
          <w:szCs w:val="28"/>
        </w:rPr>
        <w:t xml:space="preserve">, на 64205,8 тыс. рублей, или на 2,2%, выше фактического поступления 2022 года.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С разнонаправленной динамикой сложилось поступление местных налогов. Налог на имущество физических лиц увеличился на 365709,8 тыс. рублей, или на 30,8%. Доходы от земельного на</w:t>
      </w:r>
      <w:r>
        <w:rPr>
          <w:rFonts w:ascii="PT Astra Serif" w:hAnsi="PT Astra Serif" w:cs="PT Astra Serif"/>
          <w:sz w:val="28"/>
          <w:szCs w:val="28"/>
        </w:rPr>
        <w:t xml:space="preserve">лога снизились относительно 2022 года на 160197,3 тыс. рублей, на 11,0%.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С наиболее высокими темпами роста сложились поступления налога на добычу полезных ископаемых. Относительно 2022 года поступление по налогу увеличилось в 1,7 раза, в абсолютной величин</w:t>
      </w:r>
      <w:r>
        <w:rPr>
          <w:rFonts w:ascii="PT Astra Serif" w:hAnsi="PT Astra Serif" w:cs="PT Astra Serif"/>
          <w:sz w:val="28"/>
          <w:szCs w:val="28"/>
        </w:rPr>
        <w:t xml:space="preserve">е – на 98853,3 рублей и составило за 2023 год 244160,9 тыс. рублей.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Объем неналоговых доходов составил 7209699,2 тыс. рублей, на 1053998,1 тыс. рублей, или на 17,1%, выше уровня 2022 года.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Наибольший прирост по неналоговым доходам – по штрафам, санкциям, в</w:t>
      </w:r>
      <w:r>
        <w:rPr>
          <w:rFonts w:ascii="PT Astra Serif" w:hAnsi="PT Astra Serif" w:cs="PT Astra Serif"/>
          <w:sz w:val="28"/>
          <w:szCs w:val="28"/>
        </w:rPr>
        <w:t xml:space="preserve">озмещению ущерба, где платежи возросли в 1,6 раза, в том числе по штрафам за правонарушения в области дорожного движения в 1,5 раза, наибольший прирост обеспечен за счет пени, предусмотренным законодательством Российской Федерации о налогах и сборах (до 20</w:t>
      </w:r>
      <w:r>
        <w:rPr>
          <w:rFonts w:ascii="PT Astra Serif" w:hAnsi="PT Astra Serif" w:cs="PT Astra Serif"/>
          <w:sz w:val="28"/>
          <w:szCs w:val="28"/>
        </w:rPr>
        <w:t xml:space="preserve">23 года подлежали учету по соответствующим налогам и сборам).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color w:val="ff0000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Безвозмездные поступления от других бюджетов бюджетной системы Российской Федерации за 2023 год составили в сумме 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br/>
        <w:t xml:space="preserve">55910539,8 тыс. рублей, что ниже уровня 2022 года на 7247890,6 тыс. рублей, или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 на 13%. </w:t>
      </w:r>
      <w:r/>
    </w:p>
    <w:p>
      <w:pPr>
        <w:ind w:firstLine="709"/>
        <w:jc w:val="both"/>
        <w:rPr>
          <w:rFonts w:ascii="PT Astra Serif" w:hAnsi="PT Astra Serif" w:cs="PT Astra Serif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Из федерального бюджета поступило 55046012,3 тыс. руб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лей, бюджет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а 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г. Москвы и Московской области – 863730,6 тыс. рублей,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 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Социального фонда России - 796,9 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тыс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 рублей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,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 публично-правовой компании «Фонд развития территорий» - 6069194,6 тыс. рублей, прочие безвозмездные 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поступления от государственных (муниципальных) организаций - 423208,6 тыс. рублей.</w:t>
      </w:r>
      <w:r>
        <w:rPr>
          <w:rFonts w:ascii="PT Astra Serif" w:hAnsi="PT Astra Serif" w:cs="PT Astra Serif"/>
          <w:highlight w:val="white"/>
        </w:rPr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Доходы консолидированного бюджета от возврата бюджетами бюджетной системы Российской Федерации остатков субсидий, субвенций и иных межбюджетных трансфертов, имеющих целевое 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назначение, прошлых лет 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составили 177821,7 тыс. рублей. Возвращено остатков субсидий, субвенций и иных межбюджетных трансфертов, имеющих целевое назначение, прошлых лет на сумму 141092,2 тыс. рублей. Безвозмездные поступления от негосударственных организац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ий и прочие безвозмездные поступления в консолидированный бюджет области составили в 2023 году 60753,9 тыс. рублей.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Расходы консолидированного бюджета Саратовской области (без ТФОМС) исполнены в объеме 206119137,0 тыс. рублей или 95,5% годовых назначений, </w:t>
      </w:r>
      <w:r>
        <w:rPr>
          <w:rFonts w:ascii="PT Astra Serif" w:hAnsi="PT Astra Serif" w:cs="PT Astra Serif"/>
          <w:sz w:val="28"/>
          <w:szCs w:val="28"/>
        </w:rPr>
        <w:t xml:space="preserve">с ростом против 2022 года на 16835031,5 тыс. рублей, или на 8,9%. Анализ исполнения консолидированного бюджета области по разделам и подразделам бюджетной классификации Российской Федерации представлен в следующей таблице: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/>
    </w:p>
    <w:tbl>
      <w:tblPr>
        <w:tblStyle w:val="891"/>
        <w:tblW w:w="10094" w:type="dxa"/>
        <w:tblInd w:w="-227" w:type="dxa"/>
        <w:tblLayout w:type="fixed"/>
        <w:tblLook w:val="04A0" w:firstRow="1" w:lastRow="0" w:firstColumn="1" w:lastColumn="0" w:noHBand="0" w:noVBand="1"/>
      </w:tblPr>
      <w:tblGrid>
        <w:gridCol w:w="3260"/>
        <w:gridCol w:w="1470"/>
        <w:gridCol w:w="1512"/>
        <w:gridCol w:w="1413"/>
        <w:gridCol w:w="992"/>
        <w:gridCol w:w="1447"/>
      </w:tblGrid>
      <w:tr>
        <w:trPr>
          <w:trHeight w:val="589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94" w:type="dxa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  (тыс. рублей)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Наименование показателя</w:t>
            </w:r>
            <w:r/>
          </w:p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2022 год</w:t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2023 год</w:t>
            </w:r>
            <w:r/>
          </w:p>
        </w:tc>
      </w:tr>
      <w:tr>
        <w:trPr>
          <w:trHeight w:val="9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факт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уточненные бюджетные назначения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факт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% исполнения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% к 2022 году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Расходы - всего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189 284 105,5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215 838 731,9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206 119 137,0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95,5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108,9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Общегосударственные вопросы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11 194 311,9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14 015 009,1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12 447 332,5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88,8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111,2</w:t>
            </w:r>
            <w:r/>
          </w:p>
        </w:tc>
      </w:tr>
      <w:tr>
        <w:trPr>
          <w:trHeight w:val="12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586 719,8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630 392,5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620 757,8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105,8</w:t>
            </w:r>
            <w:r/>
          </w:p>
        </w:tc>
      </w:tr>
      <w:tr>
        <w:trPr>
          <w:trHeight w:val="15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496 378,0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572 208,1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560 826,8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113,0</w:t>
            </w:r>
            <w:r/>
          </w:p>
        </w:tc>
      </w:tr>
      <w:tr>
        <w:trPr>
          <w:trHeight w:val="15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3 216 538,7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3 700 103,0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3 601 965,3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97,3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112,0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Судебная система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575 912,2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655 470,2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653 458,8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9,7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113,5</w:t>
            </w:r>
            <w:r/>
          </w:p>
        </w:tc>
      </w:tr>
      <w:tr>
        <w:trPr>
          <w:trHeight w:val="12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962 046,2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1 071 813,2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1 051 093,5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109,3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Обеспечение проведения выборов и референдумов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508 795,7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233 724,1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231 855,5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45,6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Международные отношения и международное сотрудничество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104 939,9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35 726,4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35 726,4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34,0</w:t>
            </w:r>
            <w:r/>
          </w:p>
        </w:tc>
      </w:tr>
      <w:tr>
        <w:trPr>
          <w:trHeight w:val="2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Резервные фонды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463 363,4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Прикладные научные исследования в области общегосударственных вопросов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197,9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200,7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200,7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101,4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общегосударственные вопросы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4 742 783,5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6 652 007,5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5 691 447,7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85,6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120,0</w:t>
            </w:r>
            <w:r/>
          </w:p>
        </w:tc>
      </w:tr>
      <w:tr>
        <w:trPr>
          <w:trHeight w:val="1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Национальная оборона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158 455,4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127 644,8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125 939,8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79,5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Мобилизационная и вневойсковая подготовка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157 631,6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125 187,4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123 525,6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78,4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Мобилизационная подготовка экономики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823,8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2 457,4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2 414,2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2,9 раза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1 055 923,6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1 215 995,7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1 201 583,8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113,8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Органы юстиции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180 102,9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196 711,4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196 378,6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109,0</w:t>
            </w:r>
            <w:r/>
          </w:p>
        </w:tc>
      </w:tr>
      <w:tr>
        <w:trPr>
          <w:trHeight w:val="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Гражданская оборона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129 800,3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238 875,4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236 793,0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1,8 раза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Защита населения и территории от последствий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736 332,0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774 085,8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762 287,6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103,5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Миграционная политика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7 832,0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4 450,0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4 450,0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56,8</w:t>
            </w:r>
            <w:r/>
          </w:p>
        </w:tc>
      </w:tr>
      <w:tr>
        <w:trPr>
          <w:trHeight w:val="9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1 856,4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1 873,1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1 674,6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89,4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90,2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Национальная экономика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39 408 456,6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46 889 309,7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44 050 001,8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93,9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111,8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Общеэкономические вопросы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665 935,6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585 692,2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581 720,0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87,4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Топливно-энергетический комплекс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50 845,2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27 906,9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27 475,0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54,0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Сельское хозяйство и рыболовство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4 129 656,2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4 329 417,0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4 307 887,0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104,3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Водное хозяйство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448 108,5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425 600,9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416 582,8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97,9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93,0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Лесное хозяйство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307 912,6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453 946,9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453 408,8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1,5 раза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Транспорт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2 021 419,2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5 267 967,7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4 839 372,3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91,9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2,4 раза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Дорожное хозяйство (дорожные фонды)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28 202 760,6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28 910 477,1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26 608 211,8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92,0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94,3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Связь и информатика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107 301,0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132 415,4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131 590,0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122,6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Прикладные научные исследования в области национальной экономики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3 400,0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21 700,0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21 700,0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6,4 раза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вопросы в области национальной экономики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3 471 117,7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6 734 185,6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6 662 054,1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1,9 раза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Жилищно-коммунальное хозяйство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11 630 543,2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23 815 511,5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22 160 814,8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93,1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1,9 раза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Жилищное хозяйство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3 648 532,3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14 392 560,7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13 359 384,3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92,8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3,7 раза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Коммунальное хозяйство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2 415 203,6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3 365 474,3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2 961 905,5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88,0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122,6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Благоустройство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4 242 694,3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4 378 499,1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4 194 471,3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95,8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98,9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вопросы в области жилищно-коммунального хозяйства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1 324 113,0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1 678 977,4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1 645 053,7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124,2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Охрана окружающей среды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321 100,3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158 382,2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129 397,9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81,7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40,3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Сбор, удаление отходов и очистка сточных вод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125 481,5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3 941,0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756,4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19,2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0,6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Охрана объектов растительного и животного мира и среды их обитания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112 324,3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41 962,2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33 869,9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80,7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30,2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Прикладные научные исследования в области охраны окружающей среды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280,0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35,7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вопросы в области охраны окружающей среды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83 014,5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112 379,0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94 671,6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84,2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114,0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Образование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47 912 864,8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53 905 372,3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53 254 520,0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111,1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Дошкольное образование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10 256 499,6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11 463 193,6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11 372 751,9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110,9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Общее образование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27 835 005,7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31 083 525,4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30 647 634,5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110,1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Дополнительное образование детей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3 393 792,6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4 025 368,6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3 967 502,7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116,9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Среднее профессиональное образование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3 622 387,4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3 721 519,3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3 721 395,4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102,7</w:t>
            </w:r>
            <w:r/>
          </w:p>
        </w:tc>
      </w:tr>
      <w:tr>
        <w:trPr>
          <w:trHeight w:val="9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Профессиональная подготовка, переподготовка и повышение квалификации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275 469,4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260 618,3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259 384,8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94,2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Молодежная политика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999 349,6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323 362,2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315 155,0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97,5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31,5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вопросы в области образования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1 530 360,5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3 027 784,9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2 970 695,7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194,1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Культура, кинематография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8 091 513,5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8 240 086,9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7 866 709,7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95,5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97,2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Культура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7 151 284,5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7 241 733,4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6 881 099,4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95,0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96,2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вопросы в области культуры, кинематографии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940 229,0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998 353,5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985 610,3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104,8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Здравоохранение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19 789 691,1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18 379 521,6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17 619 743,6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95,9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89,0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Стационарная медицинская помощь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13 269 408,2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11 816 741,3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11 139 792,4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94,3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84,0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Амбулаторная помощь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1 711 498,3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983 183,0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966 015,4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56,4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Скорая медицинская помощь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579 841,4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507 895,4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507 496,6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87,5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Санаторно-оздоровительная помощь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103 650,2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111 938,0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111 938,0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108,0</w:t>
            </w:r>
            <w:r/>
          </w:p>
        </w:tc>
      </w:tr>
      <w:tr>
        <w:trPr>
          <w:trHeight w:val="9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Заготовка, переработка, хранение и обеспечение безопасности донорской крови и её компонентов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222 789,0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255 364,9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255 364,9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114,6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Санитарно-эпидемиологическое благополучие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8 607,9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9 013,8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9 013,8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104,7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вопросы в области здравоохранения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3 893 896,1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4 695 385,2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4 630 122,5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118,9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Социальная политика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44 868 215,6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43 908 720,9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42 315 543,3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96,4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94,3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Пенсионное обеспечение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414 388,6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467 421,3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465 913,8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112,4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Социальное обслуживание населения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7 055 751,2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7 638 171,8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7 638 159,7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108,3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Социальное обеспечение населения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20 585 841,7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21 720 381,8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21 472 747,3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104,3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Охрана семьи и детства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15 240 810,7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12 357 417,6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11 028 406,0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89,2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72,4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вопросы в области социальной политики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1 571 423,4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1 725 328,4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1 710 316,5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108,8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Физическая культура и спорт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3 519 062,1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4 266 810,6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4 057 245,7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95,1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115,3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Физическая культура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1 318 709,8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447 827,4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436 400,8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97,4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33,1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Массовый спорт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1 468 793,1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1 557 055,1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1 368 461,0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87,9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93,2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Спорт высших достижений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639 734,9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2 163 925,1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2 156 370,8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3,4 раза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вопросы в области физической культуры и спорта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91 824,3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98 003,0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96 013,1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104,6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Средства массовой информации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228 350,9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245 251,9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241 218,0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105,6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Телевидение и радиовещание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53 376,9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55 325,3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55 325,3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103,7</w:t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Периодическая печать и издательства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98 150,3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102 113,5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98 097,4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96,1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99,9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вопросы в области средств массовой информации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76 823,7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87 813,1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87 795,3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114,3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Обслуживание государственного (муниципального) долга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1 105 616,5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671 114,7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649 086,1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96,7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58,7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Обслуживание государственного (муниципального) внутреннего долга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1 105 616,5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671 114,7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649 086,1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96,7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58,7</w:t>
            </w:r>
            <w:r/>
          </w:p>
        </w:tc>
      </w:tr>
    </w:tbl>
    <w:p>
      <w:pPr>
        <w:spacing w:line="242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/>
    </w:p>
    <w:p>
      <w:pPr>
        <w:ind w:firstLine="700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И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сполнение по обязательствам, финансовое обеспечение которых осуществлялось за счет субсидий, субвенций и иных межбюджетных трансфертов из федерального бюджета (далее – целевые федеральные средства), сложилось в сумме 36803524,9 тыс. рублей, или 99,9% от ф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актически поступивших целевых федеральных средств.</w:t>
      </w:r>
      <w:r/>
    </w:p>
    <w:p>
      <w:pPr>
        <w:ind w:firstLine="700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yellow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По состоянию на 1 января 2024 года неиспользованные остатки целевых федеральных средств составили 7373,2 тыс. рублей, которые подлежат обязательному возврату в федеральный бюджет. 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  <w:szCs w:val="28"/>
        </w:rPr>
        <w:t xml:space="preserve">По состоянию на 1 января</w:t>
      </w:r>
      <w:r>
        <w:rPr>
          <w:rFonts w:ascii="PT Astra Serif" w:hAnsi="PT Astra Serif" w:cs="PT Astra Serif"/>
          <w:sz w:val="28"/>
          <w:szCs w:val="28"/>
        </w:rPr>
        <w:t xml:space="preserve"> 2024 года размер государственного долга области составил 62515485,7 тыс. рублей, совокупного муниципального долга – 13205150,6 тыс. рублей. Объем государственного долга области увеличился с начала 2023 года на сумму 3222192,1 тыс. рублей и составил 55,4% </w:t>
      </w:r>
      <w:r>
        <w:rPr>
          <w:rFonts w:ascii="PT Astra Serif" w:hAnsi="PT Astra Serif" w:cs="PT Astra Serif"/>
          <w:sz w:val="28"/>
          <w:szCs w:val="28"/>
        </w:rPr>
        <w:t xml:space="preserve">к фактическому поступлению налоговых и неналоговых доходов областного бюджета за 2023 год. Объем муниципального долга увеличился за 2023 год на  сумму 1064944,1 тыс. рублей.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  <w:szCs w:val="28"/>
        </w:rPr>
        <w:t xml:space="preserve">Расходы на обслуживание государственного и муниципального долга составили за 2023 </w:t>
      </w:r>
      <w:r>
        <w:rPr>
          <w:rFonts w:ascii="PT Astra Serif" w:hAnsi="PT Astra Serif" w:cs="PT Astra Serif"/>
          <w:sz w:val="28"/>
          <w:szCs w:val="28"/>
        </w:rPr>
        <w:t xml:space="preserve">год в суммах 407289,5 тыс. рублей и 251578,9 тыс. рублей соответственно.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  <w:szCs w:val="28"/>
        </w:rPr>
        <w:t xml:space="preserve">За счет собственных средств областного бюджета в 2023 году погашена вторая амортизационная часть облигационного займа в сумме 1500000,0 тыс. рублей. По состоянию на 1 января 2024 года</w:t>
      </w:r>
      <w:r>
        <w:rPr>
          <w:rFonts w:ascii="PT Astra Serif" w:hAnsi="PT Astra Serif" w:cs="PT Astra Serif"/>
          <w:sz w:val="28"/>
          <w:szCs w:val="28"/>
        </w:rPr>
        <w:t xml:space="preserve"> задолженность по государственным ценным бумагам Саратовской области составила 2000000,0 тыс. рублей.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  <w:szCs w:val="28"/>
        </w:rPr>
        <w:t xml:space="preserve">Привлечение и погашение кредитов от кредитных организаций Саратовская область</w:t>
      </w:r>
      <w:r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в 2023 году не осуществляла. Задолженность области по кредитам от кредитных </w:t>
      </w:r>
      <w:r>
        <w:rPr>
          <w:rFonts w:ascii="PT Astra Serif" w:hAnsi="PT Astra Serif" w:cs="PT Astra Serif"/>
          <w:sz w:val="28"/>
          <w:szCs w:val="28"/>
        </w:rPr>
        <w:t xml:space="preserve">организаций на 1 января 2024 года отсутствует.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  <w:szCs w:val="28"/>
        </w:rPr>
        <w:t xml:space="preserve">Муниципальными образованиями в течение 2023 года привлечено кредитов от кредитных организаций на общую сумму 5288294,0 тыс. рублей, погашено на общую сумму 4127523,8 тыс. рублей.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pacing w:val="-6"/>
          <w:sz w:val="28"/>
          <w:szCs w:val="28"/>
        </w:rPr>
        <w:t xml:space="preserve">Привлечение и погашение област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ным бюджетом в 2023 году из Управления Федерального казначейства по Саратовской области казначейского бюджетного кредита в целях обеспечения наличия на едином счете бюджета сумм денежных средств, необходимых для исполнения распоряжений налогового органа, о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существлено в сумме 3389746,6 </w:t>
      </w:r>
      <w:r>
        <w:rPr>
          <w:rFonts w:ascii="PT Astra Serif" w:hAnsi="PT Astra Serif" w:cs="PT Astra Serif"/>
          <w:sz w:val="28"/>
          <w:szCs w:val="28"/>
        </w:rPr>
        <w:t xml:space="preserve">тыс. рублей.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 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pacing w:val="-6"/>
          <w:sz w:val="28"/>
          <w:szCs w:val="28"/>
        </w:rPr>
        <w:t xml:space="preserve">В течение 2023 года Правительство области осуществляло согласование предоставления Управлением Федерального казначейства по Саратовской области казначейских бюджетных кредитов в рамках лимита, установленного Минф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ином России для Саратовской области. Данный механизм использовали четыре муниципальных образования, и в 2023 году привлечение ими бюджетных кредитов составило в общей сумме 705000,0 тыс. рублей.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pacing w:val="-6"/>
          <w:sz w:val="28"/>
          <w:szCs w:val="28"/>
        </w:rPr>
        <w:t xml:space="preserve">Привлечение в 2023 году</w:t>
      </w:r>
      <w:r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Саратовской областью бюджетных кредит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ов из федерального бюджета составило в сумме 6227766,5 тыс. рублей (на финансовое обеспечение реализации инфраструктурных проектов - 1449918,0 тыс. рублей,</w:t>
      </w:r>
      <w:r>
        <w:rPr>
          <w:rFonts w:ascii="PT Astra Serif" w:hAnsi="PT Astra Serif" w:cs="PT Astra Serif"/>
          <w:color w:val="000000"/>
          <w:sz w:val="28"/>
          <w:szCs w:val="28"/>
        </w:rPr>
        <w:t xml:space="preserve"> на пополнение остатка средств на едином счете бюджета в целях опережающего финансового обеспечения р</w:t>
      </w:r>
      <w:r>
        <w:rPr>
          <w:rFonts w:ascii="PT Astra Serif" w:hAnsi="PT Astra Serif" w:cs="PT Astra Serif"/>
          <w:color w:val="000000"/>
          <w:sz w:val="28"/>
          <w:szCs w:val="28"/>
        </w:rPr>
        <w:t xml:space="preserve">асходных обязательств области – 2943250,5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 тыс. рублей, на финансовое обеспечение реализации инфраструктурного проекта «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Столыпинский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 индустриальный парк» и реализации мероприятий по приобретению подвижного состава пассажирского транспорта общего пользования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 (закупка автобусов) - 1834598,0 тыс. рублей).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  <w:szCs w:val="28"/>
        </w:rPr>
        <w:t xml:space="preserve">За счет собственных средств областного бюджета в 2023 году Саратовская область погасила реструктурированную задолженность по бюджетным кредитам в общей сумме 1505574,4 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тыс. рублей.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  <w:szCs w:val="28"/>
        </w:rPr>
        <w:t xml:space="preserve">По состоянию на 1 января 202</w:t>
      </w:r>
      <w:r>
        <w:rPr>
          <w:rFonts w:ascii="PT Astra Serif" w:hAnsi="PT Astra Serif" w:cs="PT Astra Serif"/>
          <w:sz w:val="28"/>
          <w:szCs w:val="28"/>
        </w:rPr>
        <w:t xml:space="preserve">4 года задолженность Саратовской области перед федеральным бюджетом по бюджетным кредитам составила всего - 60515485,7 тыс. рублей, в том числе: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  <w:szCs w:val="28"/>
        </w:rPr>
        <w:t xml:space="preserve">реструктурир</w:t>
      </w:r>
      <w:r>
        <w:rPr>
          <w:rFonts w:ascii="PT Astra Serif" w:hAnsi="PT Astra Serif" w:cs="PT Astra Serif"/>
          <w:sz w:val="28"/>
          <w:szCs w:val="28"/>
        </w:rPr>
        <w:t xml:space="preserve">ованная задолженность по бюджетным кредитам, предоставленным на строительство, реконструкцию, капитальный ремонт, ремонт и содержание автомобильных дорог общего пользования (за исключением автомобильных дорог федерального значения) – 2245313,8 тыс. рублей;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  <w:szCs w:val="28"/>
        </w:rPr>
        <w:t xml:space="preserve">реструктурированная задолженность по бюджетным кредитам, предоставленным для частичного покрытия дефицита бюджета – 20025191,1 тыс. рублей;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  <w:szCs w:val="28"/>
        </w:rPr>
        <w:t xml:space="preserve">реструктурированная задолженность по бюджетному кредиту, предоставленному для погашения бюджетных кредитов на попол</w:t>
      </w:r>
      <w:r>
        <w:rPr>
          <w:rFonts w:ascii="PT Astra Serif" w:hAnsi="PT Astra Serif" w:cs="PT Astra Serif"/>
          <w:sz w:val="28"/>
          <w:szCs w:val="28"/>
        </w:rPr>
        <w:t xml:space="preserve">нение остатков средств на счетах бюджетов субъектов Российской Федерации – 4572000,0 тыс. рублей;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  <w:szCs w:val="28"/>
        </w:rPr>
        <w:t xml:space="preserve">задолженность по бюджетным кредитам, предоставленным в целях погашения долговых обязательств по рыночным заимствованиям области и муниципальных образований – </w:t>
      </w:r>
      <w:r>
        <w:rPr>
          <w:rFonts w:ascii="PT Astra Serif" w:hAnsi="PT Astra Serif" w:cs="PT Astra Serif"/>
          <w:sz w:val="28"/>
          <w:szCs w:val="28"/>
        </w:rPr>
        <w:t xml:space="preserve">25945214,3 тыс. рублей;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  <w:szCs w:val="28"/>
        </w:rPr>
        <w:t xml:space="preserve">задолженность по бюджетным кредитам, предоставленным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 на финансовое обеспечение реализации инфраструктурных проектов (инфраструктурные бюджетные кредиты) – 2949918,0 тыс. рублей;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  <w:szCs w:val="28"/>
        </w:rPr>
        <w:t xml:space="preserve">задолженность по бюджетным кредитам, предоставленным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 н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а</w:t>
      </w:r>
      <w:r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пополнение остатка средств на едином счете бюджета в целях опережающего финансового обеспечения расходных обязательств области – 2943250,5 тыс. рублей;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  <w:szCs w:val="28"/>
        </w:rPr>
        <w:t xml:space="preserve">задолженность по бюджетным кредитам, предоставленным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 на</w:t>
      </w:r>
      <w:r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финансовое обеспече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ние реализации инфраструктурных проектов (специальные казначейские кредиты) - 1834598,0 тыс. рублей.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  <w:szCs w:val="28"/>
        </w:rPr>
        <w:t xml:space="preserve">В 2023 году из областного бюджета муниципальным образованиям области предоставлены бюджетные кредиты для покрытия временных кассовых разрывов в сумме 52616</w:t>
      </w:r>
      <w:r>
        <w:rPr>
          <w:rFonts w:ascii="PT Astra Serif" w:hAnsi="PT Astra Serif" w:cs="PT Astra Serif"/>
          <w:sz w:val="28"/>
          <w:szCs w:val="28"/>
        </w:rPr>
        <w:t xml:space="preserve">5,3 тыс. рублей со сроком погашения в течение финансового года. Просроченных долговых обязательств муниципальных образований перед областным бюджетом не имеется.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spacing w:val="-6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Параметры государственного долга области и муниципального долга муниципальных образований обла</w:t>
      </w:r>
      <w:r>
        <w:rPr>
          <w:rFonts w:ascii="PT Astra Serif" w:hAnsi="PT Astra Serif" w:cs="PT Astra Serif"/>
          <w:sz w:val="28"/>
          <w:szCs w:val="28"/>
        </w:rPr>
        <w:t xml:space="preserve">сти, а также расходов на их обслуживание, по состоянию на 31 декабря 2023 года соответствуют требованиям, установленным Бюджетным кодексом Российской Федерации.</w:t>
      </w:r>
      <w:r/>
    </w:p>
    <w:p>
      <w:pPr>
        <w:spacing w:line="242" w:lineRule="auto"/>
        <w:rPr>
          <w:rFonts w:ascii="PT Astra Serif" w:hAnsi="PT Astra Serif" w:cs="PT Astra Serif"/>
          <w:spacing w:val="-6"/>
          <w:sz w:val="28"/>
          <w:szCs w:val="28"/>
          <w:highlight w:val="yellow"/>
        </w:rPr>
      </w:pPr>
      <w:r>
        <w:rPr>
          <w:rFonts w:ascii="PT Astra Serif" w:hAnsi="PT Astra Serif" w:cs="PT Astra Serif"/>
          <w:spacing w:val="-6"/>
          <w:sz w:val="28"/>
          <w:szCs w:val="28"/>
          <w:highlight w:val="yellow"/>
        </w:rPr>
      </w:r>
      <w:r/>
    </w:p>
    <w:p>
      <w:pPr>
        <w:jc w:val="center"/>
        <w:spacing w:line="242" w:lineRule="auto"/>
        <w:rPr>
          <w:rFonts w:ascii="PT Astra Serif" w:hAnsi="PT Astra Serif" w:cs="PT Astra Serif"/>
          <w:highlight w:val="white"/>
        </w:rPr>
      </w:pPr>
      <w:r>
        <w:rPr>
          <w:rFonts w:ascii="PT Astra Serif" w:hAnsi="PT Astra Serif" w:cs="PT Astra Serif" w:eastAsiaTheme="minorHAnsi"/>
          <w:b/>
          <w:sz w:val="28"/>
          <w:szCs w:val="28"/>
          <w:highlight w:val="white"/>
        </w:rPr>
        <w:t xml:space="preserve">Раздел 4 «Анализ показателей бухгалтерской отчетности субъекта бюджетной отчетности»</w:t>
      </w:r>
      <w:r/>
    </w:p>
    <w:p>
      <w:pPr>
        <w:jc w:val="center"/>
        <w:spacing w:line="242" w:lineRule="auto"/>
        <w:rPr>
          <w:rFonts w:ascii="PT Astra Serif" w:hAnsi="PT Astra Serif" w:cs="PT Astra Serif"/>
          <w:highlight w:val="yellow"/>
        </w:rPr>
      </w:pPr>
      <w:r>
        <w:rPr>
          <w:rFonts w:ascii="PT Astra Serif" w:hAnsi="PT Astra Serif" w:cs="PT Astra Serif"/>
          <w:highlight w:val="yellow"/>
        </w:rPr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За 2023 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год из федерального бюджета в государственную собственность Саратовской области и муниципальную собственность было передано и поставлено на учет имущество в сумме 4105325,2 тыс. рублей, из бюджетов других субъектов Российской Федерации – 1249528,8 тыс. руб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лей, передано из государственной собственности области и муниципальной в федеральную собственность имущество в сумме 60578,8 тыс. рублей, в собственность других субъектов - 167041,9 тыс. рублей.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Подробные сведения о движении нефинансовых активов представле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ны в приложении по форме 0503368.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В течение 2023 года объем кредиторской задолженности по консолидированному бюджету области сократился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 на 2004283,3тыс. рублей и на 1 января 2024 года составил 3509328,6 тыс. рублей (без учета операций по единому счету обл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астного бюджета и расчетам по доходам).</w:t>
      </w:r>
      <w:r>
        <w:rPr>
          <w:highlight w:val="white"/>
        </w:rPr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Просроченная кредиторская задолженность сократилась на 384060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 тыс. рублей с 894751,1 тыс. рублей на 1 января 2023 года до 510691,1 тыс. рублей </w:t>
        <w:br/>
        <w:t xml:space="preserve">на 1 января 2024 года, в том числе просроченная кредиторская задолженно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сть более 10 млн рублей сложилась: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по 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Балашовскому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 муниципальному району Саратовской области:</w:t>
      </w:r>
      <w:r/>
    </w:p>
    <w:p>
      <w:pPr>
        <w:ind w:firstLine="720"/>
        <w:jc w:val="both"/>
        <w:spacing w:line="242" w:lineRule="auto"/>
        <w:shd w:val="clear" w:color="auto" w:fill="ffffff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- в сумме 11552,7 тыс. рублей по взысканию компенсации за исключением имущества из конкурсной массы  организации банкрота МУП «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Балашовское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 ЖКХ» перед МРИФНС № 12 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по Саратовской области по и/л ФС037140601 от 20.07.21 года дело №А57-6063/2009 г.;</w:t>
      </w:r>
      <w:r/>
    </w:p>
    <w:p>
      <w:pPr>
        <w:ind w:firstLine="540"/>
        <w:jc w:val="both"/>
        <w:spacing w:line="242" w:lineRule="auto"/>
        <w:shd w:val="clear" w:color="auto" w:fill="ffffff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color w:val="000000"/>
          <w:sz w:val="28"/>
          <w:szCs w:val="28"/>
          <w:highlight w:val="white"/>
          <w:shd w:val="clear" w:color="auto" w:fill="ffffff"/>
        </w:rPr>
        <w:t xml:space="preserve">   – в сумме 23972,0 тыс. рублей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 МКУ муниципального образования г.  Балашов «Городское ЖКХ» (водоканал) по уплате НДС;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по 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Вольскому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 муниципальному району Саратовской области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:</w:t>
      </w:r>
      <w:r/>
    </w:p>
    <w:p>
      <w:pPr>
        <w:ind w:firstLine="720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- в сумме 295907,0 тыс. рублей МКУ «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Вольсктеплоэнерго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» перед ООО                  «Газпром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межрегионгаз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Саратов» за газоснабжение.</w:t>
      </w:r>
      <w:r/>
    </w:p>
    <w:p>
      <w:pPr>
        <w:ind w:firstLine="426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Просроченная кредиторская задолженность сложилась в результате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недопоступления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собственных доходов в местные бюджеты.</w:t>
      </w:r>
      <w:r/>
    </w:p>
    <w:p>
      <w:pPr>
        <w:ind w:firstLine="540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Объем дебиторской задолженности по консолидированному бюджету области на 1 января 2024 года составил 179343119,4 тыс. рублей.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Просроченная дебиторская задолженность с 1 января 2023 года снизилась на 1825430,6 тыс. рублей и по состоянию на 1 января 2024 год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а составила 3892916,6 тыс. рублей, в том числе просроченная дебиторская задолженность более 10 млн рублей сложилась:</w:t>
      </w:r>
      <w:r/>
    </w:p>
    <w:p>
      <w:pPr>
        <w:ind w:firstLine="708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в сумме </w:t>
      </w:r>
      <w:r>
        <w:rPr>
          <w:rFonts w:ascii="PT Astra Serif" w:hAnsi="PT Astra Serif" w:cs="PT Astra Serif"/>
          <w:sz w:val="28"/>
          <w:szCs w:val="24"/>
          <w:highlight w:val="white"/>
        </w:rPr>
        <w:t xml:space="preserve">115794,0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 тыс. рублей по комитету капитального строительства Саратовской области, который на основании распоряжения Правительства Са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ратовской области от 07 ноября 2017 года № 311-Пр находится в стадии ликвидации;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в сумме 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32150,5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 тыс. рублей по министерству спорта Саратовской области в результате неисполнения обязательств Общественной организацией 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Балаковского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 района Саратовской области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 «Волейбольный клуб «Протон-БАЭС» по представленным 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субсидиям и грантам на развитие на территории области отдельных видов спорта (спортивных дисциплин);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color w:val="000000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в сумме 37347,9 тыс. рублей по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Балаковскому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 муниципальному району задолженность физических лиц по арен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дной плате;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highlight w:val="white"/>
        </w:rPr>
      </w:pP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по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Балашовскому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 муниципальному району области  задолженность МУП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Балашовского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 муниципального района «Система теплоснабжения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Балашовского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 района» в сумме 10449,9 тыс.  рублей  и задолженность физических лиц в сумме 67720,0  тыс. рублей перед 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МКУ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 муниципального образования г.  Балашов «Городское ЖКХ» (водоканал)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 по платным услугам за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забор, распределение и очистку воды для питьевых и промышленных нужд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;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в сумме 36511,1 тыс. рублей по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Вольскому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муниципальному району  по доходам за коммунальные услуг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и от физических лиц перед МКУ «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Вольсктеплоэнерго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»;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по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 муниципальному образованию «Город Саратов»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:</w:t>
      </w:r>
      <w:r/>
    </w:p>
    <w:p>
      <w:pPr>
        <w:ind w:firstLine="720"/>
        <w:jc w:val="both"/>
        <w:spacing w:line="242" w:lineRule="auto"/>
        <w:rPr>
          <w:rFonts w:ascii="PT Astra Serif" w:hAnsi="PT Astra Serif" w:cs="PT Astra Serif"/>
          <w:highlight w:val="white"/>
        </w:rPr>
      </w:pPr>
      <w:r>
        <w:rPr>
          <w:rFonts w:ascii="PT Astra Serif" w:hAnsi="PT Astra Serif" w:cs="PT Astra Serif" w:eastAsiaTheme="minorHAnsi"/>
          <w:color w:val="000000"/>
          <w:sz w:val="28"/>
          <w:szCs w:val="24"/>
          <w:highlight w:val="white"/>
        </w:rPr>
        <w:t xml:space="preserve">в сумме 19206,9  тыс.  рублей за несвоевременную оплату населением за наем муниципальных жилых помещений Заводского административного района;</w:t>
      </w:r>
      <w:r/>
    </w:p>
    <w:p>
      <w:pPr>
        <w:ind w:firstLine="700"/>
        <w:jc w:val="both"/>
        <w:spacing w:line="242" w:lineRule="auto"/>
        <w:rPr>
          <w:rFonts w:ascii="PT Astra Serif" w:hAnsi="PT Astra Serif" w:cs="PT Astra Serif"/>
          <w:highlight w:val="white"/>
        </w:rPr>
      </w:pPr>
      <w:r>
        <w:rPr>
          <w:rFonts w:ascii="PT Astra Serif" w:hAnsi="PT Astra Serif" w:cs="PT Astra Serif" w:eastAsiaTheme="minorHAnsi"/>
          <w:color w:val="000000"/>
          <w:sz w:val="28"/>
          <w:szCs w:val="24"/>
          <w:highlight w:val="white"/>
        </w:rPr>
        <w:t xml:space="preserve">в сумме 12781,0 </w:t>
      </w:r>
      <w:r>
        <w:rPr>
          <w:rFonts w:ascii="PT Astra Serif" w:hAnsi="PT Astra Serif" w:cs="PT Astra Serif" w:eastAsiaTheme="minorHAnsi"/>
          <w:color w:val="000000"/>
          <w:sz w:val="28"/>
          <w:szCs w:val="24"/>
          <w:highlight w:val="white"/>
        </w:rPr>
        <w:t xml:space="preserve">тыс. рублей за неустойку за просрочку ввода объекта в эксплуатацию с ООО «Волга-Сервис» ;</w:t>
      </w:r>
      <w:r/>
    </w:p>
    <w:p>
      <w:pPr>
        <w:ind w:firstLine="720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в сумме 47329,1 тыс. рублей задолженность перед МКУ «СХИТО» по поставке тепловой энергии населению Гагаринского административного района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.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Подробные сведения по дебито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рской и кредиторской задолженности представлены в приложении по форме 0503369.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В Сведениях об изменении остатков валюты баланса (ф. 0503373) отражены остатки по счетам, сформированные с учетом: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реорганизации (слияние, присоединение, разделение, выделение, 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преобразование), ликвидации субъекта бюджетной отчетности, изменении типов государственных (муниципальных) учреждений на начало финансового года, изменение подведомственности государственных (муниципальных) учреждений;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исправлений ошибок прошлых лет;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пересчета показателей отчетности;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исправлений ошибок прошлых лет по результатам внешнего (внутреннего) государственного (муниципального) финансового контроля;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иных причин, предусмотренных законодательством Российской Федерации.</w:t>
      </w:r>
      <w:r/>
    </w:p>
    <w:p>
      <w:pPr>
        <w:ind w:firstLine="540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yellow"/>
        </w:rPr>
      </w:pPr>
      <w:r>
        <w:rPr>
          <w:rFonts w:ascii="PT Astra Serif" w:hAnsi="PT Astra Serif" w:cs="PT Astra Serif"/>
          <w:sz w:val="28"/>
          <w:szCs w:val="28"/>
          <w:highlight w:val="yellow"/>
        </w:rPr>
      </w:r>
      <w:r/>
    </w:p>
    <w:p>
      <w:pPr>
        <w:ind w:firstLine="540"/>
        <w:jc w:val="center"/>
        <w:spacing w:line="242" w:lineRule="auto"/>
        <w:rPr>
          <w:rFonts w:ascii="PT Astra Serif" w:hAnsi="PT Astra Serif" w:cs="PT Astra Serif"/>
          <w:highlight w:val="white"/>
        </w:rPr>
      </w:pPr>
      <w:r>
        <w:rPr>
          <w:rFonts w:ascii="PT Astra Serif" w:hAnsi="PT Astra Serif" w:cs="PT Astra Serif" w:eastAsiaTheme="minorHAnsi"/>
          <w:b/>
          <w:sz w:val="28"/>
          <w:szCs w:val="28"/>
          <w:highlight w:val="white"/>
        </w:rPr>
        <w:t xml:space="preserve">Раздел 5 «Прочие вопросы деятельности субъекта бюджетной отчетности»</w:t>
      </w:r>
      <w:r/>
    </w:p>
    <w:p>
      <w:pPr>
        <w:ind w:firstLine="540"/>
        <w:jc w:val="center"/>
        <w:spacing w:line="242" w:lineRule="auto"/>
        <w:rPr>
          <w:rFonts w:ascii="PT Astra Serif" w:hAnsi="PT Astra Serif" w:cs="PT Astra Serif"/>
          <w:highlight w:val="white"/>
        </w:rPr>
      </w:pPr>
      <w:r>
        <w:rPr>
          <w:rFonts w:ascii="PT Astra Serif" w:hAnsi="PT Astra Serif" w:cs="PT Astra Serif"/>
          <w:highlight w:val="white"/>
        </w:rPr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yellow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Бухгалтерский учет осуществляется в соответствии с Федеральным законом от 6 декабря 2011 года № 402-ФЗ «О бухгалтерском учете», Бюджетным кодексом Российской Федерации, приказом Министер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ства финансов Российской Федерации от 1-го декабря 2010 года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 внебюджетными фондами, государственных академий наук, государственных (муниципальных) учреждений и Инструкции по его применению», с применением федеральных стандартов, в том числе вступивших в действие с 1 января 2023 года.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green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Бухгалтерская отчетность состав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ляется в соответствии с требованиями приказа Министерства финансов Российской Федерации от 28 декабря 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br/>
        <w:t xml:space="preserve">2010 года № 191н «Об утверждении Инструкции о порядке составления и представления годовой, квартальной и месячной отчетности об исполнении бюджетов бюдже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тной системы Российской Федерации» и совместными письмами Министерства финансов Российской Федерации от 11 января 2024 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br/>
        <w:t xml:space="preserve">№ 02-06-06/950 и Федерального казначейства № 07-04-05/02-253 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br/>
        <w:t xml:space="preserve">«О дополнительных критериях по раскрытию информации при составлении и пред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ставлении годовой консолидированной бюджетной отчетности, годовой консолидированной  бухгалтерской отчетности государственных бюджетных и автономных учреждений главными администраторами средств федерального бюджета за 2023 год», Министерства финансов Росси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йской Федерации от 11 января 2024 года № 02-06-06/1031 и Федерального казначейства № 07-04-05/02-255 «О дополнительных критериях по раскрытию информации при составлении и представлении годовой бюджетной отчетности, годовой консолидированной бухгалтерской о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тчетности государственных (муниципальных) бюджетных и автономных учреждений финансовыми органами субъектов Российской Федерации и органами управления государственными внебюджетными фондами Российской Федерации за 2023 год».</w:t>
      </w:r>
      <w:r/>
    </w:p>
    <w:p>
      <w:pPr>
        <w:ind w:firstLine="560"/>
        <w:jc w:val="both"/>
        <w:spacing w:line="242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В справке по заключению счетов б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юджетного учета отчетного финансового года (ф. 0503110) начислены доходы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текущего финансового года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 по номеру счета бюджетного учета:</w:t>
      </w:r>
      <w:r/>
    </w:p>
    <w:p>
      <w:pPr>
        <w:ind w:firstLine="560"/>
        <w:jc w:val="both"/>
        <w:spacing w:line="242" w:lineRule="auto"/>
        <w:rPr>
          <w:rFonts w:ascii="PT Astra Serif" w:hAnsi="PT Astra Serif" w:cs="PT Astra Serif"/>
          <w:color w:val="000000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- 140110191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в сумме 3885552,1 тыс. рублей отражены безвозмездные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неденежные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 поступления от сектора государственного управле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ния и органов государственного сектора;</w:t>
      </w:r>
      <w:r/>
    </w:p>
    <w:p>
      <w:pPr>
        <w:ind w:firstLine="560"/>
        <w:jc w:val="both"/>
        <w:spacing w:line="242" w:lineRule="auto"/>
        <w:rPr>
          <w:rFonts w:ascii="PT Astra Serif" w:hAnsi="PT Astra Serif" w:cs="PT Astra Serif"/>
          <w:color w:val="000000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- 140110195 в сумме </w:t>
      </w:r>
      <w:r>
        <w:rPr>
          <w:rFonts w:ascii="PT Astra Serif" w:hAnsi="PT Astra Serif" w:cs="PT Astra Serif" w:eastAsiaTheme="minorHAnsi"/>
          <w:color w:val="000000"/>
          <w:sz w:val="28"/>
          <w:highlight w:val="white"/>
        </w:rPr>
        <w:t xml:space="preserve">2642727,1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 тыс. рублей </w:t>
      </w:r>
      <w:r>
        <w:rPr>
          <w:rFonts w:ascii="PT Astra Serif" w:hAnsi="PT Astra Serif" w:cs="PT Astra Serif" w:eastAsiaTheme="minorHAnsi"/>
          <w:color w:val="000000"/>
          <w:sz w:val="28"/>
          <w:szCs w:val="28"/>
          <w:highlight w:val="white"/>
        </w:rPr>
        <w:t xml:space="preserve">отражены 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безвозмездно полученные земельные участки, движимое и недвижимое имущество</w:t>
      </w:r>
      <w:r>
        <w:rPr>
          <w:rFonts w:ascii="PT Astra Serif" w:hAnsi="PT Astra Serif" w:cs="PT Astra Serif" w:eastAsiaTheme="minorHAnsi"/>
          <w:color w:val="000000"/>
          <w:sz w:val="28"/>
          <w:highlight w:val="white"/>
        </w:rPr>
        <w:t xml:space="preserve"> от сектора государственного управления и органов государственного сектора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;</w:t>
      </w:r>
      <w:r/>
    </w:p>
    <w:p>
      <w:pPr>
        <w:ind w:firstLine="560"/>
        <w:jc w:val="both"/>
        <w:spacing w:line="242" w:lineRule="auto"/>
        <w:rPr>
          <w:rFonts w:ascii="PT Astra Serif" w:hAnsi="PT Astra Serif" w:cs="PT Astra Serif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-</w:t>
      </w:r>
      <w:r>
        <w:rPr>
          <w:rFonts w:ascii="PT Astra Serif" w:hAnsi="PT Astra Serif" w:cs="PT Astra Serif" w:eastAsiaTheme="minorHAnsi"/>
          <w:color w:val="000000"/>
          <w:sz w:val="28"/>
          <w:highlight w:val="white"/>
        </w:rPr>
        <w:t xml:space="preserve"> 140110199 в сумме 44764117,6 тыс. рублей отражены неразграниченные земельные участки, оприходованный металлолом, а также иные нефинансовые активы, выявленные в результате проведения инвентаризации.</w:t>
      </w:r>
      <w:r/>
    </w:p>
    <w:p>
      <w:pPr>
        <w:ind w:firstLine="560"/>
        <w:jc w:val="both"/>
        <w:spacing w:line="245" w:lineRule="auto"/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</w:pPr>
      <w:r/>
      <w:bookmarkStart w:id="0" w:name="_GoBack"/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white"/>
        </w:rPr>
        <w:t xml:space="preserve">В Справке по заключению счетов бюджетного учета отчетного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white"/>
        </w:rPr>
        <w:t xml:space="preserve"> финансового года (ф. 0503110) по КОСГУ 273 «Чрезвычайные расходы по операциям с активами» отражены списания дебиторской задолженности, по КОСГУ 173 «Чрезвычайные доходы от операций с активами» списания дебиторской и кредиторской задолженности, по КОСГУ 13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white"/>
        </w:rPr>
        <w:t xml:space="preserve">6 «Доходы бюджета от возврата </w:t>
      </w:r>
      <w:r>
        <w:rPr>
          <w:rFonts w:ascii="PT Astra Serif" w:hAnsi="PT Astra Serif" w:cs="PT Astra Serif" w:eastAsiaTheme="minorHAnsi"/>
          <w:color w:val="000000" w:themeColor="text1"/>
          <w:sz w:val="28"/>
          <w:szCs w:val="28"/>
          <w:highlight w:val="white"/>
        </w:rPr>
        <w:t xml:space="preserve">дебиторской задолженности прошлых лет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t xml:space="preserve">» отражены перечисленные остатки субсидии на выполнение муниципального задания в бюджет муниципального района, сложившиеся на лицевых счетах реорганизуемых и ликвидируемых бюджетных учрежде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t xml:space="preserve">ний на момент ликвидации (реорганизации).</w:t>
      </w:r>
      <w:r/>
    </w:p>
    <w:p>
      <w:pPr>
        <w:ind w:firstLine="860"/>
        <w:jc w:val="both"/>
        <w:spacing w:line="245" w:lineRule="auto"/>
        <w:rPr>
          <w:rFonts w:ascii="PT Astra Serif" w:hAnsi="PT Astra Serif" w:cs="PT Astra Serif"/>
          <w:color w:val="000000"/>
          <w:sz w:val="28"/>
          <w:szCs w:val="28"/>
          <w:highlight w:val="white"/>
        </w:rPr>
      </w:pP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Расхождение формы 0503110 Справки по заключению счетов бюджетного учета отчетного финансового года и формы 0503710 Справки по заключению учреждением счетов бухгалтерского учета отчетного финансового года сложилось 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в связи с:</w:t>
      </w:r>
      <w:r/>
    </w:p>
    <w:p>
      <w:pPr>
        <w:ind w:firstLine="86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отражением в форме 0503710 Справки по заключению учреждением счетов бухгалтерского учета отчетного финансового года:</w:t>
      </w:r>
      <w:r/>
    </w:p>
    <w:p>
      <w:pPr>
        <w:ind w:firstLine="86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по аналитической группе подвида доходов бюджета 194 «Безвозмездные межведомственные 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неденежные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 поступления» коду счета 0 401 10 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195 «Безвозмездные 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неденежные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 поступления капитального характера от сектора государственного управления и организаций государственного сектора» поступления земельных участков на праве постоянного (бессрочного) пользования по их кадастровой стоимости на осн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овании постановления органа, уполномоченного на управление имуществом казны, отраженного в сумме 37379518 рублей 84 копейки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;</w:t>
      </w:r>
      <w:r/>
    </w:p>
    <w:p>
      <w:pPr>
        <w:ind w:firstLine="860"/>
        <w:jc w:val="both"/>
        <w:spacing w:line="245" w:lineRule="auto"/>
        <w:rPr>
          <w:rFonts w:ascii="PT Astra Serif" w:hAnsi="PT Astra Serif" w:cs="PT Astra Serif"/>
          <w:highlight w:val="white"/>
        </w:rPr>
      </w:pP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выбытия объекта непроизведенных активов при прекращении права постоянного (бессрочного) пользования на основании постановления орга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на, уполномоченного на управление имуществом казны, отраженного по коду вида расходов 804 «Безвозмездные межведомственные 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неденежные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 передачи» коду счета 0 401 20 281 «Расходы на безвозмездные перечисления капитального характера государственным (муниципаль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ным) учреждениям», на сумму 32828363 рубля 07 копеек;</w:t>
      </w:r>
      <w:r/>
    </w:p>
    <w:p>
      <w:pPr>
        <w:ind w:firstLine="86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по аналитической группе подвида доходов бюджета 196</w:t>
      </w:r>
      <w:r>
        <w:rPr>
          <w:rFonts w:ascii="PT Astra Serif" w:hAnsi="PT Astra Serif" w:cs="PT Astra Serif"/>
          <w:highlight w:val="whit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«Безвозмездные межбюджетные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неденежные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поступления» коду счета 0 401 10 191 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«Безвозмездные 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неденежные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 поступления текущего характера от сектора госуда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рственного управления и организаций государственного сектора»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поступление нематериальных запасов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от Саратовской таможни в сумме 1230 рублей 00 копеек;</w:t>
      </w:r>
      <w:r/>
    </w:p>
    <w:p>
      <w:pPr>
        <w:ind w:firstLine="86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по аналитической группе подвида доходов бюджета 196</w:t>
      </w:r>
      <w:r>
        <w:rPr>
          <w:rFonts w:ascii="PT Astra Serif" w:hAnsi="PT Astra Serif" w:cs="PT Astra Serif"/>
          <w:highlight w:val="whit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«Безвозмездные межбюджетные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неденежные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поступления»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коду счета 0 401 10 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195 «Безвозмездные 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неденежные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 поступления капитального характера от сектора государственного управления и организаций государственного сектора»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получение вложений в основные средства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от министерства промышленности и торговли Российской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Федерации в сумме 199142579 рублей 00 копеек и земельного участка от Территориального управления Федерального агентства по управлению государственным имуществом в Саратовской области в сумме 4360160 рублей 27 копеек;</w:t>
      </w:r>
      <w:r/>
    </w:p>
    <w:p>
      <w:pPr>
        <w:ind w:firstLine="86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по коду вида расходов 806 «Безвозмездн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ые межбюджетные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неденежные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 передачи» коду счета 0 401 20 251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«</w:t>
      </w:r>
      <w:r>
        <w:rPr>
          <w:rFonts w:ascii="PT Astra Serif" w:hAnsi="PT Astra Serif" w:eastAsia="Arial" w:cs="PT Astra Serif"/>
          <w:color w:val="333333"/>
          <w:sz w:val="28"/>
          <w:szCs w:val="28"/>
          <w:highlight w:val="white"/>
        </w:rPr>
        <w:t xml:space="preserve">Расходы на перечисления текущего характера другим бюджетам бюджетной системы Российской Федерации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»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передача материальных запасов федеральным государственным казенным учреждениям в сумме 309997 р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ублей 30 копеек;</w:t>
      </w:r>
      <w:r/>
    </w:p>
    <w:p>
      <w:pPr>
        <w:ind w:firstLine="86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по коду вида расходов 806 «Безвозмездные межбюджетные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неденежные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 передачи» коду счета 0 401 20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254 «Расходы на перечисления капитального характера другим бюджетам</w:t>
      </w:r>
      <w:r>
        <w:rPr>
          <w:rFonts w:ascii="PT Astra Serif" w:hAnsi="PT Astra Serif" w:cs="PT Astra Serif"/>
          <w:highlight w:val="white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бюджетной системы Российской Федерации» передача основных средств федеральны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м государственным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казенным учреждениям в сумме 587500 рублей 00 копеек;</w:t>
      </w:r>
      <w:r/>
    </w:p>
    <w:p>
      <w:pPr>
        <w:ind w:firstLine="720"/>
        <w:jc w:val="both"/>
        <w:spacing w:line="245" w:lineRule="auto"/>
        <w:shd w:val="clear" w:color="fcfcfc" w:fill="fcfcfc"/>
        <w:rPr>
          <w:rFonts w:ascii="PT Astra Serif" w:hAnsi="PT Astra Serif" w:cs="PT Astra Serif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Arial" w:cs="PT Astra Serif"/>
          <w:color w:val="232627"/>
          <w:sz w:val="28"/>
          <w:szCs w:val="28"/>
        </w:rPr>
        <w:t xml:space="preserve">отражением в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форме 0503110 Справка по заключению счетов бюджетного учета отчетного финансового года:</w:t>
      </w:r>
      <w:r/>
    </w:p>
    <w:p>
      <w:pPr>
        <w:ind w:firstLine="720"/>
        <w:jc w:val="both"/>
        <w:spacing w:line="245" w:lineRule="auto"/>
        <w:shd w:val="clear" w:color="fcfcfc" w:fill="fcfcfc"/>
        <w:rPr>
          <w:rFonts w:ascii="PT Astra Serif" w:hAnsi="PT Astra Serif" w:cs="PT Astra Serif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по аналитической группе подвида доходов бюджета 197 «Безвозмездные межбюджетные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неденежные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поступления от бюджетных (автономных) учреждений» коду счета 1 401 10 191 «Безвозмездные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неденежные</w:t>
      </w:r>
      <w:r>
        <w:rPr>
          <w:rFonts w:ascii="PT Astra Serif" w:hAnsi="PT Astra Serif" w:cs="PT Astra Serif"/>
          <w:highlight w:val="white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поступления текущего характера от сектора государственного управл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ения и организаций государственного</w:t>
      </w:r>
      <w:r>
        <w:rPr>
          <w:rFonts w:ascii="PT Astra Serif" w:hAnsi="PT Astra Serif" w:cs="PT Astra Serif"/>
          <w:highlight w:val="white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сектора» поступление нефинансовых активов от  государственных бюджетных</w:t>
      </w:r>
      <w:r>
        <w:rPr>
          <w:rFonts w:ascii="PT Astra Serif" w:hAnsi="PT Astra Serif" w:cs="PT Astra Serif"/>
          <w:highlight w:val="white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учреждений других субъектов Российской Федерации в сумме 14870323 рубля 44 копейки;</w:t>
      </w:r>
      <w:r/>
    </w:p>
    <w:p>
      <w:pPr>
        <w:ind w:firstLine="720"/>
        <w:jc w:val="both"/>
        <w:spacing w:line="245" w:lineRule="auto"/>
        <w:shd w:val="clear" w:color="fcfcfc" w:fill="fcfcfc"/>
        <w:rPr>
          <w:rFonts w:ascii="PT Astra Serif" w:hAnsi="PT Astra Serif" w:cs="PT Astra Serif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по аналитической группе подвида доходов бюджета 197 «Безвозмездн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ые межбюджетные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неденежные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поступления от бюджетных (автономных) учреждений» коду счета 1 401 10 195 «Безвозмездные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неденежные</w:t>
      </w:r>
      <w:r>
        <w:rPr>
          <w:rFonts w:ascii="PT Astra Serif" w:hAnsi="PT Astra Serif" w:cs="PT Astra Serif"/>
          <w:highlight w:val="white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поступления капитального характера от сектора государственного управления и организаций</w:t>
      </w:r>
      <w:r/>
    </w:p>
    <w:p>
      <w:pPr>
        <w:jc w:val="both"/>
        <w:spacing w:line="245" w:lineRule="auto"/>
        <w:shd w:val="clear" w:color="fcfcfc" w:fill="fcfcfc"/>
        <w:rPr>
          <w:rFonts w:ascii="PT Astra Serif" w:hAnsi="PT Astra Serif" w:cs="PT Astra Serif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государственного сектора» поступление неф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инансовых активов от федеральных государственных бюджетных учреждений в сумме 335528107 рублей 86 копеек;</w:t>
      </w:r>
      <w:r/>
    </w:p>
    <w:p>
      <w:pPr>
        <w:ind w:firstLine="720"/>
        <w:jc w:val="both"/>
        <w:spacing w:line="245" w:lineRule="auto"/>
        <w:shd w:val="clear" w:color="fcfcfc" w:fill="fcfcfc"/>
        <w:rPr>
          <w:rFonts w:ascii="PT Astra Serif" w:hAnsi="PT Astra Serif" w:cs="PT Astra Serif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по коду вида расходов 807 «Безвозмездные межбюджетные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неденежные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 передачи бюджетным (автономным)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учреждениям» коду счета 1 401 20 254 «Расходы на перечисления капитального характера другим бюджетам</w:t>
      </w:r>
      <w:r>
        <w:rPr>
          <w:rFonts w:ascii="PT Astra Serif" w:hAnsi="PT Astra Serif" w:cs="PT Astra Serif"/>
          <w:highlight w:val="white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бюджетной системы Российской Федерации» передача нефинансовых активов федеральным государственным</w:t>
      </w:r>
      <w:r>
        <w:rPr>
          <w:rFonts w:ascii="PT Astra Serif" w:hAnsi="PT Astra Serif" w:cs="PT Astra Serif"/>
          <w:highlight w:val="white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бюджетным учреждениям в сумме 1403072 рубля 02 копейки;</w:t>
      </w:r>
      <w:r/>
    </w:p>
    <w:p>
      <w:pPr>
        <w:ind w:firstLine="720"/>
        <w:jc w:val="both"/>
        <w:spacing w:line="245" w:lineRule="auto"/>
        <w:shd w:val="clear" w:color="fcfcfc" w:fill="fcfcfc"/>
        <w:rPr>
          <w:rFonts w:ascii="PT Astra Serif" w:hAnsi="PT Astra Serif" w:cs="PT Astra Serif"/>
          <w:color w:val="232627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Arial" w:cs="PT Astra Serif"/>
          <w:color w:val="232627"/>
          <w:sz w:val="28"/>
          <w:szCs w:val="28"/>
        </w:rPr>
        <w:t xml:space="preserve">п</w:t>
      </w:r>
      <w:r>
        <w:rPr>
          <w:rFonts w:ascii="PT Astra Serif" w:hAnsi="PT Astra Serif" w:eastAsia="Arial" w:cs="PT Astra Serif"/>
          <w:color w:val="232627"/>
          <w:sz w:val="28"/>
          <w:szCs w:val="28"/>
        </w:rPr>
        <w:t xml:space="preserve">о коду вида расходов 807 «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Безвозмездные межбюджетные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неденежные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 передачи бюджетным (автономным)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учреждениям» коду счета</w:t>
      </w:r>
      <w:r>
        <w:rPr>
          <w:rFonts w:ascii="PT Astra Serif" w:hAnsi="PT Astra Serif" w:eastAsia="Arial" w:cs="PT Astra Serif"/>
          <w:color w:val="232627"/>
          <w:sz w:val="28"/>
          <w:szCs w:val="28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1 401 20 25</w:t>
      </w:r>
      <w:r>
        <w:rPr>
          <w:rFonts w:ascii="PT Astra Serif" w:hAnsi="PT Astra Serif" w:eastAsia="Arial" w:cs="PT Astra Serif"/>
          <w:color w:val="232627"/>
          <w:sz w:val="28"/>
          <w:szCs w:val="28"/>
        </w:rPr>
        <w:t xml:space="preserve">1 </w:t>
      </w:r>
      <w:r>
        <w:rPr>
          <w:rFonts w:ascii="PT Astra Serif" w:hAnsi="PT Astra Serif" w:eastAsia="Arial" w:cs="PT Astra Serif"/>
          <w:color w:val="232627"/>
          <w:sz w:val="28"/>
          <w:szCs w:val="28"/>
        </w:rPr>
        <w:t xml:space="preserve">«</w:t>
      </w:r>
      <w:r>
        <w:rPr>
          <w:rFonts w:ascii="PT Astra Serif" w:hAnsi="PT Astra Serif" w:eastAsia="Arial" w:cs="PT Astra Serif"/>
          <w:color w:val="333333"/>
          <w:sz w:val="28"/>
          <w:szCs w:val="28"/>
          <w:highlight w:val="white"/>
        </w:rPr>
        <w:t xml:space="preserve">Расходы на перечисления текущего характера другим бюджетам бюджетной системы Российской Федерации</w:t>
      </w:r>
      <w:r>
        <w:rPr>
          <w:rFonts w:ascii="PT Astra Serif" w:hAnsi="PT Astra Serif" w:eastAsia="Arial" w:cs="PT Astra Serif"/>
          <w:color w:val="232627"/>
          <w:sz w:val="28"/>
          <w:szCs w:val="28"/>
        </w:rPr>
        <w:t xml:space="preserve">»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передача нефинансовых а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ктивов федеральным государственным</w:t>
      </w:r>
      <w:r>
        <w:rPr>
          <w:rFonts w:ascii="PT Astra Serif" w:hAnsi="PT Astra Serif" w:cs="PT Astra Serif"/>
          <w:highlight w:val="white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бюджетным учреждениям в сумме</w:t>
      </w:r>
      <w:r>
        <w:rPr>
          <w:rFonts w:ascii="PT Astra Serif" w:hAnsi="PT Astra Serif" w:eastAsia="Arial" w:cs="PT Astra Serif"/>
          <w:color w:val="232627"/>
          <w:sz w:val="28"/>
          <w:szCs w:val="28"/>
        </w:rPr>
        <w:t xml:space="preserve"> 93250464 рубля 22 копейки.</w:t>
      </w:r>
      <w:r/>
    </w:p>
    <w:p>
      <w:pPr>
        <w:ind w:firstLine="720"/>
        <w:jc w:val="both"/>
        <w:spacing w:line="245" w:lineRule="auto"/>
        <w:shd w:val="clear" w:color="fcfcfc" w:fill="fcfcfc"/>
        <w:rPr>
          <w:rFonts w:ascii="PT Astra Serif" w:hAnsi="PT Astra Serif" w:cs="PT Astra Serif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В формах 0503125 по счетам бюджетного учета 140110191 «Доходы от безвозмездных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неденежных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 поступлений текущего характера от сектора государственного управления и ор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ганизаций государственного сектора», 14010195 «Доходы от безвозмездных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неденежных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 поступлений капитального характера от сектора государственного управления и организаций государственного сектора» имеется расхождение по внешнему контролю с Федеральным агент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ством по государственным резервам (глава 171) по главным распорядителям средств бюджета Саратовской области, которые приняли безвозмездно нефинансовые активы в общей сумме 9668499 рублей 78 копеек, из них в сумме 5691070 рублей 57 копеек принято оборудован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ие – отражено в формах отчетности об исполнении консолидированного бюджета области по классификации сектора государственного управления 195 «Безвозмездные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неденежные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 поступления капитального характера от сектора государственного управления и организаций го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white"/>
        </w:rPr>
        <w:t xml:space="preserve">сударственного сектора».</w:t>
      </w:r>
      <w:bookmarkEnd w:id="0"/>
      <w:r/>
      <w:r/>
    </w:p>
    <w:p>
      <w:pPr>
        <w:ind w:firstLine="72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darkGray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В форме 0503368 Сведения о движении нефинансовых активов консолидированного бюджета по строке 560 «Вложения в объекты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государственной (муниципальной) казны» (счет 01065X000) отражены вложения в объекты имущества казны в общей сумме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664116623 рублей 99 копеек на начало отчетного года и 1571997245 рубля 47 копеек на конец отчетного периода.</w:t>
      </w:r>
      <w:r/>
    </w:p>
    <w:p>
      <w:pPr>
        <w:ind w:firstLine="70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Расхождение показателей формы 0503321 Консолидированный отчет о финансовых результатах деятельности и формы 0503368 Сведения о движении нефинансов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ых активов консолидированного бюджета в сумме 26201131 рубль 47 копеек сложилось в части показателей по счету </w:t>
      </w:r>
      <w:r>
        <w:rPr>
          <w:rFonts w:ascii="PT Astra Serif" w:hAnsi="PT Astra Serif" w:cs="PT Astra Serif"/>
          <w:sz w:val="28"/>
          <w:szCs w:val="28"/>
          <w:highlight w:val="white"/>
        </w:rPr>
        <w:br/>
        <w:t xml:space="preserve">110652 000 «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Вложения в движимое имущество государственной (муниципальной) казны».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Отрицательные показатели в форме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0503321 Консолидированный отчет о финансовых результатах деятельности сложились:</w:t>
      </w:r>
      <w:r/>
    </w:p>
    <w:p>
      <w:pPr>
        <w:ind w:firstLine="72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по классификации сектора государственного управления 135 </w:t>
      </w:r>
      <w:bookmarkStart w:id="1" w:name="undefined"/>
      <w:r/>
      <w:bookmarkEnd w:id="1"/>
      <w:r>
        <w:rPr>
          <w:rFonts w:ascii="PT Astra Serif" w:hAnsi="PT Astra Serif" w:cs="PT Astra Serif"/>
          <w:sz w:val="28"/>
          <w:szCs w:val="28"/>
          <w:highlight w:val="white"/>
        </w:rPr>
        <w:t xml:space="preserve">«Доходы по условным арендным платежам» в связи с корректировкой расчетов с арендаторами по возмещению расходов за комм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унальные услуги;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классификации сектора государственного управления 143 «Страховые возмещения» в связи с корректировкой расчетов;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по классификации сектора государственного управления 173 «Чрезвычайные доходы от операций с активами» в связи с превышением пок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азателей списаний дебиторской задолженности по доходам над показателями по списанию кредиторской задолженности;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классификации сектора государственного управления 176 «Доходы от оценки активов и обязательств» в связи с уменьшением када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стровой стоимости земельных участков;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по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классификации сектора государственного управления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125 «Проценты по предоставленным заимствованиям» по графе 14 «Бюджеты муниципальных районов», а также по строке 971 «обслуживание внутренних привлеченных заимствован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ий (в части процентов, пеней и штрафных санкций по полученным бюджетным кредитам)» в сумме 85144 рубля 00 копеек в связи с перерасчетом процентов по предоставленному бюджетному кредиту из бюджета муниципального района бюджету городского поселения области.</w:t>
      </w:r>
      <w:r/>
    </w:p>
    <w:p>
      <w:pPr>
        <w:ind w:firstLine="72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Начисленные расходы по перечислению другим бюджетам бюджетной системы Российской Федерации в Консолидированном отчете о финансовых результатах деятельности (ф. 0503321), отраженные по строке 231 «Перечисления текущего характера другим бюджетам бюджетной си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стемы Российской Федерации» в графе 4 в сумме 3481588011 рублей 33 копейки, не соответствуют показателям в Справке по консолидированным расчетам (ф. 0503125) по счету </w:t>
      </w:r>
      <w:r>
        <w:rPr>
          <w:rFonts w:ascii="PT Astra Serif" w:hAnsi="PT Astra Serif" w:cs="PT Astra Serif"/>
          <w:sz w:val="28"/>
          <w:szCs w:val="28"/>
        </w:rPr>
        <w:br/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1 401 20 251 «Расходы на перечисления другим бюджетам бюджетной системы Российской Федер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ации» в сумме 3353995572 рубля 43 копейки на сумму 127592438 рублей 90 копеек, в том числе: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в сумме  33922463 рубля 68 копейки в связи с заключением договоров аренды на льготных условиях; 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в сумме 93669975 рублей 22 копейки на стоимость переданных прочих м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атериальных запасов и вложений в материальные запасы муниципальным бюджетным и автономным учреждениям Саратовской области и федеральным государственным бюджетным учреждениям Российской Федерации.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В Сведениях по дебиторской и кредиторской задолженности (фор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ма 0503369) показатель дебиторской задолженности: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 по счету 120511000 «Расчеты с плательщиками налогов» превышает </w:t>
      </w:r>
      <w:r>
        <w:rPr>
          <w:rFonts w:ascii="PT Astra Serif" w:hAnsi="PT Astra Serif" w:cs="PT Astra Serif"/>
          <w:sz w:val="28"/>
          <w:szCs w:val="28"/>
          <w:highlight w:val="white"/>
        </w:rPr>
        <w:br/>
        <w:t xml:space="preserve">1000000 рублей на начало 2023 года в сумме 6764940585 рублей 15 копеек и на конец отчетного периода в сумме 9560934082 рубля 58 копеек, и сос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тавляет соответственно 6765940585 рублей 15 копеек и 9561934082 рубля 58 копеек, по данным отчетности  главного администратора доходов федерального бюджета, представленного Федеральной налоговой службой;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по счету 130301000 «Расчеты по налогу на доходы физи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ческих лиц» в сумме 7966 рублей 07 копеек, 130302000 «Расчеты по страховым взносам на обязательное социальное страхование на случай временной нетрудоспособности и в связи с материнством» в сумме 109244 рублей 49 копеек, 130307000 «Расчеты по страховым взно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сам на обязательное медицинское страхование в Федеральный ФОМС» в сумме 28588 рублей 52 копейки, 130308000 «Расчеты по страховым взносам на обязательное медицинское страхование в территориальный ФОМС» в сумме 743 рубля 00 копеек, 130310000 «Расчеты по стра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ховым взносам на обязательное пенсионное страхование на выплату страховой части трудовой пенсии» в сумме 2863 рубля 38 копеек, 130311000 «Расчеты по страховым взносам на обязательное пенсионное страхование на выплату накопительной части трудовой пенсии» в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сумме 1463 рубля 47 копеек, 130312000 «Расчеты по налогу на имущество организаций» в сумме 22702 рубля 00 копеек, 130313000 «Расчеты по земельному налогу» в сумме 483652 рубля 41 копейка сложились по причине наличия дебетовых остатков на начало 2023 года,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заявления в целях их зачета в счет последующих платежей или возврата не направлены в ИФНС на 1 января 2024 года, либо на рассмотрении;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highlight w:val="green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по счету 130306000 «Расчеты по страховым взносам на обязательное социальное страхование от несчастных случаев на производ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стве и профессиональных заболеваний» в сумме 24890 рублей 33 копейки сложился по причине наличия дебетовых остатков на начало 2023 года в сумме 19601 рубль 37 копеек, а также по причине переплаты по страховым взносам на обязательное социальное страхование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от несчастных случаев на производстве и профессиональных заболеваний; 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В Сведениях по дебиторской и кредиторской задолженности (форма 0503369) показатель кредиторской задолженности по налогу на доходы физических лиц не отнесен к просроченной задолженности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в связи с начислением заработной платы за декабрь 2023 года со сроком выплаты в январе 2024 года. 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Кредитовый остаток по единому налоговому платежу в сумме 130 рублей 00 копеек образовался в результате разбалансированности расчетов по кодам классификации р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асходов бюджетов бюджетной системы Российской Федерации в связи с перечислением денежных средств в объеме, недостаточном для исполнения денежного обязательства по налогу на доходы физических лиц, и имеющейся переплатой на едином налоговом счете по единому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страховому тарифу.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Расхождения показателей формы 0503317 Отчет об исполнении консолидированного бюджета субъекта Российской Федерации и бюджета территориального государственного внебюджетного фонда с формой 0503152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Консолидированный отчет о кассовых поступ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лениях и выбытиях сложилось в результате: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отражения финансовым органом бюджета субъекта Саратовской области сумм поступлений возврата средств субсидии областного бюджета, ошибочно перечисленных </w:t>
      </w:r>
      <w:r>
        <w:rPr>
          <w:rFonts w:ascii="PT Astra Serif" w:hAnsi="PT Astra Serif" w:eastAsia="Calibri" w:cs="PT Astra Serif"/>
          <w:sz w:val="28"/>
          <w:szCs w:val="28"/>
          <w:highlight w:val="white"/>
          <w:lang w:eastAsia="en-US"/>
        </w:rPr>
        <w:t xml:space="preserve">в федеральный бюджет, в составе кодов источников финансировани</w:t>
      </w:r>
      <w:r>
        <w:rPr>
          <w:rFonts w:ascii="PT Astra Serif" w:hAnsi="PT Astra Serif" w:eastAsia="Calibri" w:cs="PT Astra Serif"/>
          <w:sz w:val="28"/>
          <w:szCs w:val="28"/>
          <w:highlight w:val="white"/>
          <w:lang w:eastAsia="en-US"/>
        </w:rPr>
        <w:t xml:space="preserve">я (в положительном значении): 000 01050201020000510 «Увеличение прочих остатков денежных средств бюджетов субъектов Российской Федерации» в сумме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476754 рубля 00 копеек</w:t>
      </w:r>
      <w:r>
        <w:rPr>
          <w:rFonts w:ascii="PT Astra Serif" w:hAnsi="PT Astra Serif" w:eastAsia="Calibri" w:cs="PT Astra Serif"/>
          <w:sz w:val="28"/>
          <w:szCs w:val="28"/>
          <w:highlight w:val="white"/>
          <w:lang w:eastAsia="en-US"/>
        </w:rPr>
        <w:t xml:space="preserve">, при отражении указанных сумм территориальными органами Федерального казначейства в сос</w:t>
      </w:r>
      <w:r>
        <w:rPr>
          <w:rFonts w:ascii="PT Astra Serif" w:hAnsi="PT Astra Serif" w:eastAsia="Calibri" w:cs="PT Astra Serif"/>
          <w:sz w:val="28"/>
          <w:szCs w:val="28"/>
          <w:highlight w:val="white"/>
          <w:lang w:eastAsia="en-US"/>
        </w:rPr>
        <w:t xml:space="preserve">таве кодов источников финансирования (в отрицательном значении): 000 01050201020000610 «Уменьшение прочих остатков денежных средств бюджетов субъектов Российской Федерации»;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highlight w:val="white"/>
        </w:rPr>
      </w:pPr>
      <w:r>
        <w:rPr>
          <w:rFonts w:ascii="PT Astra Serif" w:hAnsi="PT Astra Serif" w:eastAsia="Calibri" w:cs="PT Astra Serif"/>
          <w:sz w:val="28"/>
          <w:szCs w:val="28"/>
          <w:highlight w:val="white"/>
          <w:lang w:eastAsia="en-US"/>
        </w:rPr>
        <w:t xml:space="preserve">отражения ТФОМС Саратовской области сумм поступлений возвратов остатков межбюджетн</w:t>
      </w:r>
      <w:r>
        <w:rPr>
          <w:rFonts w:ascii="PT Astra Serif" w:hAnsi="PT Astra Serif" w:eastAsia="Calibri" w:cs="PT Astra Serif"/>
          <w:sz w:val="28"/>
          <w:szCs w:val="28"/>
          <w:highlight w:val="white"/>
          <w:lang w:eastAsia="en-US"/>
        </w:rPr>
        <w:t xml:space="preserve">ых трансфертов прошлых лет при подтверждении потребности в составе кодов источников финансирования (в положительном значении): 000 01050201090000510 «Увеличение прочих остатков денежных средств бюджетов территориальных фондов обязательного медицинского стр</w:t>
      </w:r>
      <w:r>
        <w:rPr>
          <w:rFonts w:ascii="PT Astra Serif" w:hAnsi="PT Astra Serif" w:eastAsia="Calibri" w:cs="PT Astra Serif"/>
          <w:sz w:val="28"/>
          <w:szCs w:val="28"/>
          <w:highlight w:val="white"/>
          <w:lang w:eastAsia="en-US"/>
        </w:rPr>
        <w:t xml:space="preserve">ахования» в сумме 717621918 рублей 73 копейки, при отражении указанных сумм территориальными органами Федерального казначейства в составе кодов источников финансирования (в отрицательном значении): 000 01050201090000610 «Уменьшение прочих остатков денежных</w:t>
      </w:r>
      <w:r>
        <w:rPr>
          <w:rFonts w:ascii="PT Astra Serif" w:hAnsi="PT Astra Serif" w:eastAsia="Calibri" w:cs="PT Astra Serif"/>
          <w:sz w:val="28"/>
          <w:szCs w:val="28"/>
          <w:highlight w:val="white"/>
          <w:lang w:eastAsia="en-US"/>
        </w:rPr>
        <w:t xml:space="preserve"> средств бюджетов территориальных фондов обязательного медицинского страхования»;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yellow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Расхождения показателей формы 0503317 Отчет об исполнении консолидированного бюджета субъекта Российской Федерации и бюджета территориального государственного внебюджетного ф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онда с формой 0503387 Справочная таблица к отчету об исполнении консолидированного бюджета субъекта Российской Федерации сложились в результате отражения расходов на осуществление воинского учета на территориях, где отсутствуют военные комиссариаты по стро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кам 00200, 00210, 00220, 00230, а так же по кодам строк 00800, 00801, 00802, 00803. Полномочия Российской Федерации на осуществление воинского учета на территориях, где отсутствуют структурные подразделения военных комиссариатов, передаются соответствующим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органам местного самоуправления поселений и органам местного самоуправления городских округов в соответствии со статьей 8 Федерального закона «О воинской обязанности и воинской службе». Органы местного самоуправления поселений и органы местного самоуправл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ения городских округов осуществляют первичный воинский учет граждан, проживающих или пребывающих на территориях указанных муниципальных образований. Работники, исполняющие указанные полномочия, состоят в штате администраций органов местного самоуправления.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Расходы на осуществление передаваемых полномочий на осуществление первичного воинского учета производятся за счет субвенций из федерального бюджета на указанные цели, поэтому в Справочной таблице к отчету об исполнении консолидированного бюджета субъекта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Российской Федерации (форма 0503387) отражены по кодам строк 00801 «фонд оплаты труда государственных (муниципальных) органов», 00802 «иные выплаты персоналу государственных (муниципальных) органов, за исключением фонда оплаты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труда», 00803 «взносы по обяз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ательному социальному страхованию на выплаты денежного содержания и иные выплаты работникам  государственных (муниципальных) органов» и в составе расходов на содержание органов местного самоуправления по кодам строк 00210 «фонд оплаты труда государственных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 (муниципальных) органов», 00220 «иные выплаты персоналу государственных (муниципальных) органов, за исключением фонда оплаты  труда», 00230 «взносы по обязательному социальному страхованию на выплаты денежного содержания и иные выплаты работникам  госуда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рственных  (муниципальных) органов».</w:t>
      </w:r>
      <w:r/>
    </w:p>
    <w:p>
      <w:pPr>
        <w:ind w:firstLine="72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В показатели Баланса исполнения консолидированного бюджета субъекта Российской Федерации и бюджета Территориального государственного внебюджетного фонда (ф. 0503320) по строкам 250 «Дебиторская задолженность по доходам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(020500000, 020900000), всего», 510 «Доходы будущих периодов (040140000)» включаются начисленные доходы будущих периодов по предоставляемым в 2024 – 2026 гг. межбюджетным трансфертам, отраженные в графе «суммы, подлежащие исключению в рамках консолидирован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ного бюджета субъекта РФ», из бюджета Саратовской области в бюджеты муниципальных образований области по счетам бюджетного учета 1 205 51 000 «Расчеты по поступлениям текущего характера от других бюджетов бюджетной системы Российской Федерации» в сумме 864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03718108 рублей 11 копеек, 1 205 61 000 «Расчеты по поступлениям капитального характера от других бюджетов бюджетной системы Российской Федерации» в сумме 2546043139 рублей 07 копеек, 1 401 49 151 «Доходы будущих периодов к признанию в очередные года» в су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мме 86403718108 рублей 11 копеек, 1 401 41 161 «Доходы будущих периодов к признанию в текущем году»  в сумме 71844123 рубля 87 копеек, 1 401 49 161 «Доходы будущих периодов к признанию в очередные года» в сумме 2474199 015 рублей 20 копеек; из бюджетов мун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иципальных районов области в бюджеты городских и сельских поселений области, из бюджетов городских и сельских поселений области в бюджеты муниципальных районов области по счетам бюджетного учета 1 205 51 000 «Расчеты по поступлениям текущего характера от д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ругих бюджетов бюджетной системы Российской Федерации» в сумме 3680632223 рубля 17 копеек, 1 401 49 151 «Доходы будущих периодов от поступлений текущего характера от других бюджетов бюджетной системы Российской Федерации» в сумме 3680632223 рубля 17 копеек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.</w:t>
      </w:r>
      <w:r/>
    </w:p>
    <w:p>
      <w:pPr>
        <w:ind w:firstLine="72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yellow"/>
        </w:rPr>
      </w:pPr>
      <w:r>
        <w:rPr>
          <w:rFonts w:ascii="PT Astra Serif" w:hAnsi="PT Astra Serif" w:cs="PT Astra Serif"/>
          <w:sz w:val="28"/>
          <w:szCs w:val="28"/>
        </w:rPr>
        <w:t xml:space="preserve">Превышение показателей строки 271 «</w:t>
      </w:r>
      <w:r>
        <w:rPr>
          <w:rFonts w:ascii="PT Astra Serif" w:hAnsi="PT Astra Serif" w:cs="PT Astra Serif"/>
          <w:sz w:val="28"/>
          <w:szCs w:val="28"/>
        </w:rPr>
        <w:t xml:space="preserve">из них: долгосрочные</w:t>
      </w:r>
      <w:r>
        <w:rPr>
          <w:rFonts w:ascii="PT Astra Serif" w:hAnsi="PT Astra Serif" w:cs="PT Astra Serif"/>
          <w:sz w:val="28"/>
          <w:szCs w:val="28"/>
        </w:rPr>
        <w:t xml:space="preserve">» над строкой 270 «Расчеты по кредитам, займам (ссудам) (020700000), всего» на суммы 9054643674,38 рублей и 8896723577,10 рублей на начало и конец отчетного периода соответственно, а также строки 401</w:t>
      </w:r>
      <w:r>
        <w:rPr>
          <w:rFonts w:ascii="PT Astra Serif" w:hAnsi="PT Astra Serif" w:cs="PT Astra Serif"/>
          <w:sz w:val="28"/>
          <w:szCs w:val="28"/>
        </w:rPr>
        <w:t xml:space="preserve">«из них: долгосрочные»</w:t>
      </w:r>
      <w:r>
        <w:rPr>
          <w:rFonts w:ascii="PT Astra Serif" w:hAnsi="PT Astra Serif" w:cs="PT Astra Serif"/>
          <w:sz w:val="28"/>
          <w:szCs w:val="28"/>
        </w:rPr>
        <w:t xml:space="preserve"> над строкой 400 «Расчеты с кредиторами по долговым обязательствам (030100000), всего» на сумму 3991142675,98 на начало года </w:t>
      </w:r>
      <w:r>
        <w:rPr>
          <w:rFonts w:ascii="PT Astra Serif" w:hAnsi="PT Astra Serif" w:cs="PT Astra Serif"/>
          <w:sz w:val="28"/>
          <w:szCs w:val="28"/>
        </w:rPr>
        <w:t xml:space="preserve">Баланса исполнения консолидированного бюджета субъекта Российской Федерации и бюджета Территориального государственного внебюджетного фонда (ф. 0503320)</w:t>
      </w:r>
      <w:r>
        <w:rPr>
          <w:rFonts w:ascii="PT Astra Serif" w:hAnsi="PT Astra Serif" w:cs="PT Astra Serif"/>
          <w:sz w:val="28"/>
          <w:szCs w:val="28"/>
        </w:rPr>
        <w:t xml:space="preserve"> связано с взаимоисключением расчетов по бюджетным кредитам по строкам 270 и 400 и отсутствием взаимоисключения долгосрочных расчетов по бюджетным кредитам п</w:t>
      </w:r>
      <w:r>
        <w:rPr>
          <w:rFonts w:ascii="PT Astra Serif" w:hAnsi="PT Astra Serif" w:cs="PT Astra Serif"/>
          <w:sz w:val="28"/>
          <w:szCs w:val="28"/>
        </w:rPr>
        <w:t xml:space="preserve">о строкам 271 </w:t>
      </w:r>
      <w:r>
        <w:rPr>
          <w:rFonts w:ascii="PT Astra Serif" w:hAnsi="PT Astra Serif" w:cs="PT Astra Serif"/>
          <w:sz w:val="28"/>
          <w:szCs w:val="28"/>
        </w:rPr>
        <w:t xml:space="preserve">и 401</w:t>
      </w:r>
      <w:r>
        <w:rPr>
          <w:rFonts w:ascii="PT Astra Serif" w:hAnsi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/>
    </w:p>
    <w:p>
      <w:pPr>
        <w:ind w:firstLine="720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В показатели формы 0503321 Консолидированный отчет о финансовых результатах деятельности по строке 481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«в том числе: увеличение прочей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дебиторской задолженности» включены суммы по данным счетов увеличений соответствующих аналитических счетов счета 120551000 «Расчеты по поступлениям текущего характера от других бюджетов бюджетной системы Российской Федераци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и», счета 120561000 «Расчеты по поступлениям капитального характера от других бюджетов бюджетной системы Российской Федерации» в части начисленных доходов будущих периодов по предоставляемым в 2024 – 2026 гг. межбюджетным трансфертам.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Показатель графы 21 «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Кассовые расходы с начала реализации инвестиционного проекта – всего» в форме 0503190 Сведения о вложениях в объекты недвижимого имущества, объектах незавершенного строительства меньше, чем показатель графы 20 «фактические (по счету 0106Х1000) на конец год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а» в связи с безвозмездной передачей фактических затрат от одного балансодержателя к другому с указанием фактических расходов (переданы показатели сформированных вложений в недвижимое имущество по акту приема-передачи НФА), без передачи показателей ранее п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роизведенных кассовых расходов (по акту приема-передачи НФА не передаются).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В форме 0503190 Сведения о вложениях в объекты недвижимого имущества, объектах незавершенного строительства сумма фактических расходов (в связке ИНН графа 2, учетный номер граф 5,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6) на начало года не соответствует показателям  предыдущего года (в связке ИНН графы 3, учетный номер граф 6, 7) в связи с изменением и (или) корректировкой данных по объектам (уточнение наименования объекта, ИНН учреждения, код объекта, кадастровый номер,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сметная стоимость и т. д.) по причине исправления ошибок прошлых лет и приведение в соответствие учетного кода объекта графы 5,  с учетом требований Инструкции о порядке составления и представления годовой, квартальной и месячной отчетности об исполнении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бюджетов бюджетной системы Российской Федерации, утвержденной приказом Минфина России от 28 декабря 2010 г. № 191н.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Согласно пункту 7 приказа Министерства финансов Российской Федерации от 28 декабря 2010 года № 191н «Об утверждении Инструкции о порядке сос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тавления и представления годовой, квартальной и месячной отчетности об исполнении бюджетов бюджетной системы Российской Федерации», в целях составления годовой бухгалтерской отчетности экономическими субъектами области проводилась инвентаризация активов и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обязательств.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Выявленные при инвентаризации расхождения между фактическим наличием объектов и данными регистров бухгалтерского учета отражены в бухгалтерском учете в установленном законодательством порядке.</w:t>
      </w:r>
      <w:r/>
    </w:p>
    <w:p>
      <w:pPr>
        <w:ind w:firstLine="53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Согласно пункту 7 приказа Министерства финансов Р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оссийской Федерации от 28 декабря 2010 года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Федерации», в целях составления годовой бухга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лтерской отчетности экономическими субъектами области проводилась инвентаризация активов и обязательств.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Выявленные при инвентаризации расхождения между фактическим наличием объектов и данными регистров бухгалтерского учета отражены в бухгалтерском учете в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 установленном законодательством порядке.</w:t>
      </w:r>
      <w:r/>
    </w:p>
    <w:p>
      <w:pPr>
        <w:ind w:firstLine="709"/>
        <w:jc w:val="both"/>
        <w:spacing w:line="245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В связи с отсутствием числового значения в составе бюджетной отчетности об исполнении консолидированного бюджета субъекта Российской Федерации за отчетный период не представлена Справка по консолидируемым расчетам </w:t>
      </w:r>
      <w:r>
        <w:rPr>
          <w:rFonts w:ascii="PT Astra Serif" w:hAnsi="PT Astra Serif" w:cs="PT Astra Serif" w:eastAsiaTheme="minorHAnsi"/>
          <w:sz w:val="28"/>
          <w:szCs w:val="28"/>
          <w:highlight w:val="white"/>
        </w:rPr>
        <w:t xml:space="preserve">(ф. 0503125) по счетам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1 206 51 000, 1 206 54 000, 1 206 54 561, 1 206 54 661, 1 302 54 000, 1 302 54 831, 1 301 21 000, 1 301 21 710, 1 301 31 000, 301 31 710, 301 31 810, 1 301 21 810, 1 304 06 000, 1 401 10 189.</w:t>
      </w:r>
      <w:r/>
    </w:p>
    <w:p>
      <w:pPr>
        <w:ind w:firstLine="709"/>
        <w:jc w:val="both"/>
        <w:spacing w:line="242" w:lineRule="auto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/>
    </w:p>
    <w:tbl>
      <w:tblPr>
        <w:tblStyle w:val="891"/>
        <w:tblpPr w:horzAnchor="margin" w:tblpXSpec="left" w:vertAnchor="text" w:tblpY="135" w:leftFromText="180" w:topFromText="0" w:rightFromText="180" w:bottomFromText="0"/>
        <w:tblW w:w="99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7470"/>
        <w:gridCol w:w="2465"/>
      </w:tblGrid>
      <w:tr>
        <w:trPr>
          <w:trHeight w:val="1421"/>
        </w:trPr>
        <w:tc>
          <w:tcPr>
            <w:tcW w:w="7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b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sz w:val="28"/>
                <w:szCs w:val="28"/>
                <w:highlight w:val="white"/>
              </w:rPr>
              <w:t xml:space="preserve">Министр финансов </w:t>
            </w:r>
            <w:r/>
          </w:p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sz w:val="28"/>
                <w:szCs w:val="28"/>
                <w:highlight w:val="white"/>
              </w:rPr>
              <w:t xml:space="preserve">Саратовской области </w:t>
            </w:r>
            <w:r/>
          </w:p>
        </w:tc>
        <w:tc>
          <w:tcPr>
            <w:tcW w:w="2465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r>
            <w:r/>
          </w:p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 xml:space="preserve">И.С. </w:t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 xml:space="preserve">Бегинина</w:t>
            </w:r>
            <w:r/>
          </w:p>
        </w:tc>
      </w:tr>
      <w:tr>
        <w:trPr>
          <w:trHeight w:val="1909"/>
        </w:trPr>
        <w:tc>
          <w:tcPr>
            <w:tcW w:w="7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r>
            <w:r/>
          </w:p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 xml:space="preserve">Первый заместитель начальника</w:t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br/>
              <w:t xml:space="preserve">бюджетного управления, начальник</w:t>
            </w:r>
            <w:r/>
          </w:p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 xml:space="preserve">отдела межбюджетных отношений</w:t>
            </w:r>
            <w:r/>
          </w:p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r>
            <w:r/>
          </w:p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r>
            <w:r/>
          </w:p>
        </w:tc>
        <w:tc>
          <w:tcPr>
            <w:tcW w:w="2465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r>
            <w:r/>
          </w:p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r>
            <w:r/>
          </w:p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r>
            <w:r/>
          </w:p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 xml:space="preserve">Т.А. </w:t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 xml:space="preserve">Коченюк</w:t>
            </w:r>
            <w:r/>
          </w:p>
        </w:tc>
      </w:tr>
      <w:tr>
        <w:trPr>
          <w:trHeight w:val="997"/>
        </w:trPr>
        <w:tc>
          <w:tcPr>
            <w:tcW w:w="7470" w:type="dxa"/>
            <w:textDirection w:val="lrTb"/>
            <w:noWrap w:val="false"/>
          </w:tcPr>
          <w:p>
            <w:pPr>
              <w:jc w:val="both"/>
              <w:shd w:val="clear" w:color="auto" w:fill="ffffff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 xml:space="preserve">Начальник управления </w:t>
            </w:r>
            <w:r/>
          </w:p>
          <w:p>
            <w:pPr>
              <w:jc w:val="both"/>
              <w:shd w:val="clear" w:color="auto" w:fill="ffffff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 xml:space="preserve">бюджетного учета и отчетности, </w:t>
            </w:r>
            <w:r/>
          </w:p>
          <w:p>
            <w:pPr>
              <w:jc w:val="both"/>
              <w:shd w:val="clear" w:color="auto" w:fill="ffffff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 xml:space="preserve">главный бухгалтер министерства </w:t>
            </w:r>
            <w:r/>
          </w:p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 xml:space="preserve">финансов Саратовской области</w:t>
            </w:r>
            <w:r/>
          </w:p>
        </w:tc>
        <w:tc>
          <w:tcPr>
            <w:tcW w:w="2465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r>
            <w:r/>
          </w:p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r>
            <w:r/>
          </w:p>
          <w:p>
            <w:pPr>
              <w:rPr>
                <w:rFonts w:ascii="PT Astra Serif" w:hAnsi="PT Astra Serif" w:cs="PT Astra Serif"/>
                <w:b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sz w:val="28"/>
                <w:szCs w:val="28"/>
                <w:highlight w:val="white"/>
              </w:rPr>
            </w:r>
            <w:r/>
          </w:p>
          <w:p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 xml:space="preserve">А.С. Яшков</w:t>
            </w:r>
            <w:r/>
          </w:p>
        </w:tc>
      </w:tr>
    </w:tbl>
    <w:p>
      <w:pPr>
        <w:rPr>
          <w:rFonts w:ascii="PT Astra Serif" w:hAnsi="PT Astra Serif" w:cs="PT Astra Serif"/>
          <w:b/>
          <w:bCs/>
          <w:sz w:val="28"/>
          <w:szCs w:val="28"/>
          <w:highlight w:val="yellow"/>
        </w:rPr>
      </w:pPr>
      <w:r>
        <w:rPr>
          <w:rFonts w:ascii="PT Astra Serif" w:hAnsi="PT Astra Serif" w:cs="PT Astra Serif"/>
          <w:b/>
          <w:bCs/>
          <w:sz w:val="28"/>
          <w:szCs w:val="28"/>
          <w:highlight w:val="yellow"/>
        </w:rPr>
      </w:r>
      <w:r/>
    </w:p>
    <w:p>
      <w:pPr>
        <w:ind w:firstLine="567"/>
        <w:jc w:val="both"/>
        <w:widowControl w:val="off"/>
        <w:rPr>
          <w:rFonts w:ascii="PT Astra Serif" w:hAnsi="PT Astra Serif" w:cs="PT Astra Serif"/>
          <w:sz w:val="28"/>
          <w:szCs w:val="28"/>
          <w:highlight w:val="yellow"/>
        </w:rPr>
      </w:pPr>
      <w:r>
        <w:rPr>
          <w:rFonts w:ascii="PT Astra Serif" w:hAnsi="PT Astra Serif" w:cs="PT Astra Serif"/>
          <w:sz w:val="28"/>
          <w:szCs w:val="28"/>
          <w:highlight w:val="yellow"/>
        </w:rPr>
      </w:r>
      <w:r/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851" w:right="680" w:bottom="567" w:left="1361" w:header="454" w:footer="567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Tahoma">
    <w:panose1 w:val="020B0604030504040204"/>
  </w:font>
  <w:font w:name="Symbol">
    <w:panose1 w:val="05010000000000000000"/>
  </w:font>
  <w:font w:name="consultant">
    <w:panose1 w:val="020B0606020202030204"/>
  </w:font>
  <w:font w:name="Courier New">
    <w:panose1 w:val="020703090202050204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70728670"/>
      <w:docPartObj>
        <w:docPartGallery w:val="Page Numbers (Top of Page)"/>
        <w:docPartUnique w:val="true"/>
      </w:docPartObj>
      <w:rPr/>
    </w:sdtPr>
    <w:sdtContent>
      <w:p>
        <w:pPr>
          <w:pStyle w:val="88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18</w:t>
        </w:r>
        <w:r>
          <w:fldChar w:fldCharType="end"/>
        </w:r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1"/>
      <w:rPr>
        <w:rStyle w:val="890"/>
      </w:rPr>
      <w:framePr w:wrap="around" w:vAnchor="text" w:hAnchor="margin" w:xAlign="right" w:y="1"/>
    </w:pPr>
    <w:r>
      <w:rPr>
        <w:rStyle w:val="890"/>
      </w:rPr>
      <w:fldChar w:fldCharType="begin"/>
    </w:r>
    <w:r>
      <w:rPr>
        <w:rStyle w:val="890"/>
      </w:rPr>
      <w:instrText xml:space="preserve">PAGE  </w:instrText>
    </w:r>
    <w:r>
      <w:rPr>
        <w:rStyle w:val="890"/>
      </w:rPr>
      <w:fldChar w:fldCharType="separate"/>
    </w:r>
    <w:r>
      <w:rPr>
        <w:rStyle w:val="890"/>
      </w:rPr>
      <w:t xml:space="preserve">10</w:t>
    </w:r>
    <w:r>
      <w:rPr>
        <w:rStyle w:val="890"/>
      </w:rPr>
      <w:fldChar w:fldCharType="end"/>
    </w:r>
    <w:r/>
  </w:p>
  <w:p>
    <w:pPr>
      <w:pStyle w:val="881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5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55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5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5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5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5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5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5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5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6" w:default="1">
    <w:name w:val="Normal"/>
    <w:qFormat/>
    <w:rPr>
      <w:sz w:val="26"/>
    </w:rPr>
  </w:style>
  <w:style w:type="paragraph" w:styleId="677">
    <w:name w:val="Heading 1"/>
    <w:basedOn w:val="676"/>
    <w:next w:val="676"/>
    <w:link w:val="705"/>
    <w:qFormat/>
    <w:pPr>
      <w:keepNext/>
      <w:outlineLvl w:val="0"/>
    </w:pPr>
    <w:rPr>
      <w:b/>
    </w:rPr>
  </w:style>
  <w:style w:type="paragraph" w:styleId="678">
    <w:name w:val="Heading 2"/>
    <w:basedOn w:val="676"/>
    <w:next w:val="676"/>
    <w:link w:val="706"/>
    <w:qFormat/>
    <w:pPr>
      <w:jc w:val="both"/>
      <w:keepNext/>
      <w:outlineLvl w:val="1"/>
    </w:pPr>
    <w:rPr>
      <w:b/>
      <w:bCs/>
    </w:rPr>
  </w:style>
  <w:style w:type="paragraph" w:styleId="679">
    <w:name w:val="Heading 3"/>
    <w:basedOn w:val="676"/>
    <w:next w:val="676"/>
    <w:link w:val="70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0">
    <w:name w:val="Heading 4"/>
    <w:basedOn w:val="676"/>
    <w:next w:val="676"/>
    <w:link w:val="70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Cs w:val="26"/>
    </w:rPr>
  </w:style>
  <w:style w:type="paragraph" w:styleId="681">
    <w:name w:val="Heading 5"/>
    <w:basedOn w:val="676"/>
    <w:next w:val="676"/>
    <w:link w:val="7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676"/>
    <w:next w:val="676"/>
    <w:link w:val="71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3">
    <w:name w:val="Heading 7"/>
    <w:basedOn w:val="676"/>
    <w:next w:val="676"/>
    <w:link w:val="71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4">
    <w:name w:val="Heading 8"/>
    <w:basedOn w:val="676"/>
    <w:next w:val="676"/>
    <w:link w:val="71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5">
    <w:name w:val="Heading 9"/>
    <w:basedOn w:val="676"/>
    <w:next w:val="676"/>
    <w:link w:val="71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6" w:default="1">
    <w:name w:val="Default Paragraph Font"/>
    <w:uiPriority w:val="1"/>
    <w:semiHidden/>
    <w:unhideWhenUsed/>
  </w:style>
  <w:style w:type="table" w:styleId="68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8" w:default="1">
    <w:name w:val="No List"/>
    <w:uiPriority w:val="99"/>
    <w:semiHidden/>
    <w:unhideWhenUsed/>
  </w:style>
  <w:style w:type="character" w:styleId="689" w:customStyle="1">
    <w:name w:val="Heading 1 Char"/>
    <w:basedOn w:val="686"/>
    <w:uiPriority w:val="9"/>
    <w:rPr>
      <w:rFonts w:ascii="Arial" w:hAnsi="Arial" w:eastAsia="Arial" w:cs="Arial"/>
      <w:sz w:val="40"/>
      <w:szCs w:val="40"/>
    </w:rPr>
  </w:style>
  <w:style w:type="character" w:styleId="690" w:customStyle="1">
    <w:name w:val="Heading 2 Char"/>
    <w:basedOn w:val="686"/>
    <w:uiPriority w:val="9"/>
    <w:rPr>
      <w:rFonts w:ascii="Arial" w:hAnsi="Arial" w:eastAsia="Arial" w:cs="Arial"/>
      <w:sz w:val="34"/>
    </w:rPr>
  </w:style>
  <w:style w:type="character" w:styleId="691" w:customStyle="1">
    <w:name w:val="Heading 3 Char"/>
    <w:basedOn w:val="686"/>
    <w:uiPriority w:val="9"/>
    <w:rPr>
      <w:rFonts w:ascii="Arial" w:hAnsi="Arial" w:eastAsia="Arial" w:cs="Arial"/>
      <w:sz w:val="30"/>
      <w:szCs w:val="30"/>
    </w:rPr>
  </w:style>
  <w:style w:type="character" w:styleId="692" w:customStyle="1">
    <w:name w:val="Heading 4 Char"/>
    <w:basedOn w:val="686"/>
    <w:uiPriority w:val="9"/>
    <w:rPr>
      <w:rFonts w:ascii="Arial" w:hAnsi="Arial" w:eastAsia="Arial" w:cs="Arial"/>
      <w:b/>
      <w:bCs/>
      <w:sz w:val="26"/>
      <w:szCs w:val="26"/>
    </w:rPr>
  </w:style>
  <w:style w:type="character" w:styleId="693" w:customStyle="1">
    <w:name w:val="Heading 5 Char"/>
    <w:basedOn w:val="686"/>
    <w:uiPriority w:val="9"/>
    <w:rPr>
      <w:rFonts w:ascii="Arial" w:hAnsi="Arial" w:eastAsia="Arial" w:cs="Arial"/>
      <w:b/>
      <w:bCs/>
      <w:sz w:val="24"/>
      <w:szCs w:val="24"/>
    </w:rPr>
  </w:style>
  <w:style w:type="character" w:styleId="694" w:customStyle="1">
    <w:name w:val="Heading 6 Char"/>
    <w:basedOn w:val="686"/>
    <w:uiPriority w:val="9"/>
    <w:rPr>
      <w:rFonts w:ascii="Arial" w:hAnsi="Arial" w:eastAsia="Arial" w:cs="Arial"/>
      <w:b/>
      <w:bCs/>
      <w:sz w:val="22"/>
      <w:szCs w:val="22"/>
    </w:rPr>
  </w:style>
  <w:style w:type="character" w:styleId="695" w:customStyle="1">
    <w:name w:val="Heading 7 Char"/>
    <w:basedOn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6" w:customStyle="1">
    <w:name w:val="Heading 8 Char"/>
    <w:basedOn w:val="686"/>
    <w:uiPriority w:val="9"/>
    <w:rPr>
      <w:rFonts w:ascii="Arial" w:hAnsi="Arial" w:eastAsia="Arial" w:cs="Arial"/>
      <w:i/>
      <w:iCs/>
      <w:sz w:val="22"/>
      <w:szCs w:val="22"/>
    </w:rPr>
  </w:style>
  <w:style w:type="character" w:styleId="697" w:customStyle="1">
    <w:name w:val="Heading 9 Char"/>
    <w:basedOn w:val="686"/>
    <w:uiPriority w:val="9"/>
    <w:rPr>
      <w:rFonts w:ascii="Arial" w:hAnsi="Arial" w:eastAsia="Arial" w:cs="Arial"/>
      <w:i/>
      <w:iCs/>
      <w:sz w:val="21"/>
      <w:szCs w:val="21"/>
    </w:rPr>
  </w:style>
  <w:style w:type="character" w:styleId="698" w:customStyle="1">
    <w:name w:val="Title Char"/>
    <w:basedOn w:val="686"/>
    <w:uiPriority w:val="10"/>
    <w:rPr>
      <w:sz w:val="48"/>
      <w:szCs w:val="48"/>
    </w:rPr>
  </w:style>
  <w:style w:type="character" w:styleId="699" w:customStyle="1">
    <w:name w:val="Subtitle Char"/>
    <w:basedOn w:val="686"/>
    <w:uiPriority w:val="11"/>
    <w:rPr>
      <w:sz w:val="24"/>
      <w:szCs w:val="24"/>
    </w:rPr>
  </w:style>
  <w:style w:type="character" w:styleId="700" w:customStyle="1">
    <w:name w:val="Quote Char"/>
    <w:uiPriority w:val="29"/>
    <w:rPr>
      <w:i/>
    </w:rPr>
  </w:style>
  <w:style w:type="character" w:styleId="701" w:customStyle="1">
    <w:name w:val="Intense Quote Char"/>
    <w:uiPriority w:val="30"/>
    <w:rPr>
      <w:i/>
    </w:rPr>
  </w:style>
  <w:style w:type="character" w:styleId="702" w:customStyle="1">
    <w:name w:val="Caption Char"/>
    <w:uiPriority w:val="99"/>
  </w:style>
  <w:style w:type="character" w:styleId="703" w:customStyle="1">
    <w:name w:val="Footnote Text Char"/>
    <w:uiPriority w:val="99"/>
    <w:rPr>
      <w:sz w:val="18"/>
    </w:rPr>
  </w:style>
  <w:style w:type="character" w:styleId="704" w:customStyle="1">
    <w:name w:val="Endnote Text Char"/>
    <w:uiPriority w:val="99"/>
    <w:rPr>
      <w:sz w:val="20"/>
    </w:rPr>
  </w:style>
  <w:style w:type="character" w:styleId="705" w:customStyle="1">
    <w:name w:val="Заголовок 1 Знак"/>
    <w:basedOn w:val="686"/>
    <w:link w:val="677"/>
    <w:uiPriority w:val="9"/>
    <w:rPr>
      <w:rFonts w:ascii="Arial" w:hAnsi="Arial" w:eastAsia="Arial" w:cs="Arial"/>
      <w:sz w:val="40"/>
      <w:szCs w:val="40"/>
    </w:rPr>
  </w:style>
  <w:style w:type="character" w:styleId="706" w:customStyle="1">
    <w:name w:val="Заголовок 2 Знак"/>
    <w:basedOn w:val="686"/>
    <w:link w:val="678"/>
    <w:uiPriority w:val="9"/>
    <w:rPr>
      <w:rFonts w:ascii="Arial" w:hAnsi="Arial" w:eastAsia="Arial" w:cs="Arial"/>
      <w:sz w:val="34"/>
    </w:rPr>
  </w:style>
  <w:style w:type="character" w:styleId="707" w:customStyle="1">
    <w:name w:val="Заголовок 3 Знак"/>
    <w:basedOn w:val="686"/>
    <w:link w:val="679"/>
    <w:uiPriority w:val="9"/>
    <w:rPr>
      <w:rFonts w:ascii="Arial" w:hAnsi="Arial" w:eastAsia="Arial" w:cs="Arial"/>
      <w:sz w:val="30"/>
      <w:szCs w:val="30"/>
    </w:rPr>
  </w:style>
  <w:style w:type="character" w:styleId="708" w:customStyle="1">
    <w:name w:val="Заголовок 4 Знак"/>
    <w:basedOn w:val="686"/>
    <w:link w:val="680"/>
    <w:uiPriority w:val="9"/>
    <w:rPr>
      <w:rFonts w:ascii="Arial" w:hAnsi="Arial" w:eastAsia="Arial" w:cs="Arial"/>
      <w:b/>
      <w:bCs/>
      <w:sz w:val="26"/>
      <w:szCs w:val="26"/>
    </w:rPr>
  </w:style>
  <w:style w:type="character" w:styleId="709" w:customStyle="1">
    <w:name w:val="Заголовок 5 Знак"/>
    <w:basedOn w:val="686"/>
    <w:link w:val="681"/>
    <w:uiPriority w:val="9"/>
    <w:rPr>
      <w:rFonts w:ascii="Arial" w:hAnsi="Arial" w:eastAsia="Arial" w:cs="Arial"/>
      <w:b/>
      <w:bCs/>
      <w:sz w:val="24"/>
      <w:szCs w:val="24"/>
    </w:rPr>
  </w:style>
  <w:style w:type="character" w:styleId="710" w:customStyle="1">
    <w:name w:val="Заголовок 6 Знак"/>
    <w:basedOn w:val="686"/>
    <w:link w:val="682"/>
    <w:uiPriority w:val="9"/>
    <w:rPr>
      <w:rFonts w:ascii="Arial" w:hAnsi="Arial" w:eastAsia="Arial" w:cs="Arial"/>
      <w:b/>
      <w:bCs/>
      <w:sz w:val="22"/>
      <w:szCs w:val="22"/>
    </w:rPr>
  </w:style>
  <w:style w:type="character" w:styleId="711" w:customStyle="1">
    <w:name w:val="Заголовок 7 Знак"/>
    <w:basedOn w:val="686"/>
    <w:link w:val="6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2" w:customStyle="1">
    <w:name w:val="Заголовок 8 Знак"/>
    <w:basedOn w:val="686"/>
    <w:link w:val="684"/>
    <w:uiPriority w:val="9"/>
    <w:rPr>
      <w:rFonts w:ascii="Arial" w:hAnsi="Arial" w:eastAsia="Arial" w:cs="Arial"/>
      <w:i/>
      <w:iCs/>
      <w:sz w:val="22"/>
      <w:szCs w:val="22"/>
    </w:rPr>
  </w:style>
  <w:style w:type="character" w:styleId="713" w:customStyle="1">
    <w:name w:val="Заголовок 9 Знак"/>
    <w:basedOn w:val="686"/>
    <w:link w:val="685"/>
    <w:uiPriority w:val="9"/>
    <w:rPr>
      <w:rFonts w:ascii="Arial" w:hAnsi="Arial" w:eastAsia="Arial" w:cs="Arial"/>
      <w:i/>
      <w:iCs/>
      <w:sz w:val="21"/>
      <w:szCs w:val="21"/>
    </w:rPr>
  </w:style>
  <w:style w:type="paragraph" w:styleId="714">
    <w:name w:val="List Paragraph"/>
    <w:basedOn w:val="676"/>
    <w:uiPriority w:val="34"/>
    <w:qFormat/>
    <w:pPr>
      <w:contextualSpacing/>
      <w:ind w:left="720"/>
    </w:pPr>
  </w:style>
  <w:style w:type="paragraph" w:styleId="715">
    <w:name w:val="No Spacing"/>
    <w:uiPriority w:val="1"/>
    <w:qFormat/>
  </w:style>
  <w:style w:type="character" w:styleId="716" w:customStyle="1">
    <w:name w:val="Название Знак"/>
    <w:basedOn w:val="686"/>
    <w:link w:val="885"/>
    <w:uiPriority w:val="10"/>
    <w:rPr>
      <w:sz w:val="48"/>
      <w:szCs w:val="48"/>
    </w:rPr>
  </w:style>
  <w:style w:type="paragraph" w:styleId="717">
    <w:name w:val="Subtitle"/>
    <w:basedOn w:val="676"/>
    <w:next w:val="676"/>
    <w:link w:val="718"/>
    <w:uiPriority w:val="11"/>
    <w:qFormat/>
    <w:pPr>
      <w:spacing w:before="200" w:after="200"/>
    </w:pPr>
    <w:rPr>
      <w:sz w:val="24"/>
      <w:szCs w:val="24"/>
    </w:rPr>
  </w:style>
  <w:style w:type="character" w:styleId="718" w:customStyle="1">
    <w:name w:val="Подзаголовок Знак"/>
    <w:basedOn w:val="686"/>
    <w:link w:val="717"/>
    <w:uiPriority w:val="11"/>
    <w:rPr>
      <w:sz w:val="24"/>
      <w:szCs w:val="24"/>
    </w:rPr>
  </w:style>
  <w:style w:type="paragraph" w:styleId="719">
    <w:name w:val="Quote"/>
    <w:basedOn w:val="676"/>
    <w:next w:val="676"/>
    <w:link w:val="720"/>
    <w:uiPriority w:val="29"/>
    <w:qFormat/>
    <w:pPr>
      <w:ind w:left="720" w:right="720"/>
    </w:pPr>
    <w:rPr>
      <w:i/>
    </w:rPr>
  </w:style>
  <w:style w:type="character" w:styleId="720" w:customStyle="1">
    <w:name w:val="Цитата 2 Знак"/>
    <w:link w:val="719"/>
    <w:uiPriority w:val="29"/>
    <w:rPr>
      <w:i/>
    </w:rPr>
  </w:style>
  <w:style w:type="paragraph" w:styleId="721">
    <w:name w:val="Intense Quote"/>
    <w:basedOn w:val="676"/>
    <w:next w:val="676"/>
    <w:link w:val="72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2" w:customStyle="1">
    <w:name w:val="Выделенная цитата Знак"/>
    <w:link w:val="721"/>
    <w:uiPriority w:val="30"/>
    <w:rPr>
      <w:i/>
    </w:rPr>
  </w:style>
  <w:style w:type="character" w:styleId="723" w:customStyle="1">
    <w:name w:val="Header Char"/>
    <w:basedOn w:val="686"/>
    <w:uiPriority w:val="99"/>
  </w:style>
  <w:style w:type="character" w:styleId="724" w:customStyle="1">
    <w:name w:val="Footer Char"/>
    <w:basedOn w:val="686"/>
    <w:uiPriority w:val="99"/>
  </w:style>
  <w:style w:type="paragraph" w:styleId="725">
    <w:name w:val="Caption"/>
    <w:basedOn w:val="676"/>
    <w:next w:val="67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6" w:customStyle="1">
    <w:name w:val="Нижний колонтитул Знак"/>
    <w:link w:val="882"/>
    <w:uiPriority w:val="99"/>
  </w:style>
  <w:style w:type="table" w:styleId="727" w:customStyle="1">
    <w:name w:val="Table Grid Light"/>
    <w:basedOn w:val="68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 w:customStyle="1">
    <w:name w:val="Plain Table 1"/>
    <w:basedOn w:val="68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 w:customStyle="1">
    <w:name w:val="Plain Table 2"/>
    <w:basedOn w:val="687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 w:customStyle="1">
    <w:name w:val="Plain Table 3"/>
    <w:basedOn w:val="68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 w:customStyle="1">
    <w:name w:val="Plain Table 4"/>
    <w:basedOn w:val="68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Plain Table 5"/>
    <w:basedOn w:val="68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1 Light"/>
    <w:basedOn w:val="687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1"/>
    <w:basedOn w:val="68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2"/>
    <w:basedOn w:val="68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3"/>
    <w:basedOn w:val="68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4"/>
    <w:basedOn w:val="68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5"/>
    <w:basedOn w:val="68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6"/>
    <w:basedOn w:val="68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2"/>
    <w:basedOn w:val="68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1"/>
    <w:basedOn w:val="68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2"/>
    <w:basedOn w:val="68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3"/>
    <w:basedOn w:val="68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4"/>
    <w:basedOn w:val="68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5"/>
    <w:basedOn w:val="68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6"/>
    <w:basedOn w:val="68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"/>
    <w:basedOn w:val="68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1"/>
    <w:basedOn w:val="68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2"/>
    <w:basedOn w:val="68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3"/>
    <w:basedOn w:val="68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4"/>
    <w:basedOn w:val="68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5"/>
    <w:basedOn w:val="68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6"/>
    <w:basedOn w:val="68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4"/>
    <w:basedOn w:val="687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 w:customStyle="1">
    <w:name w:val="Grid Table 4 - Accent 1"/>
    <w:basedOn w:val="687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auto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6" w:customStyle="1">
    <w:name w:val="Grid Table 4 - Accent 2"/>
    <w:basedOn w:val="687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auto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7" w:customStyle="1">
    <w:name w:val="Grid Table 4 - Accent 3"/>
    <w:basedOn w:val="687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auto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8" w:customStyle="1">
    <w:name w:val="Grid Table 4 - Accent 4"/>
    <w:basedOn w:val="687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auto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9" w:customStyle="1">
    <w:name w:val="Grid Table 4 - Accent 5"/>
    <w:basedOn w:val="687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0" w:customStyle="1">
    <w:name w:val="Grid Table 4 - Accent 6"/>
    <w:basedOn w:val="687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1" w:customStyle="1">
    <w:name w:val="Grid Table 5 Dark"/>
    <w:basedOn w:val="68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auto"/>
      </w:tcPr>
    </w:tblStylePr>
    <w:tblStylePr w:type="band1Vert">
      <w:tcPr>
        <w:shd w:val="clear" w:color="8a8a8a" w:themeColor="tex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- Accent 1"/>
    <w:basedOn w:val="68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uto"/>
      </w:tcPr>
    </w:tblStylePr>
    <w:tblStylePr w:type="band1Vert">
      <w:tcPr>
        <w:shd w:val="clear" w:color="aec4e0" w:themeColor="accen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auto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2"/>
    <w:basedOn w:val="68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auto"/>
      </w:tcPr>
    </w:tblStylePr>
    <w:tblStylePr w:type="band1Vert">
      <w:tcPr>
        <w:shd w:val="clear" w:color="e2aead" w:themeColor="accent2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auto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3"/>
    <w:basedOn w:val="68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auto"/>
      </w:tcPr>
    </w:tblStylePr>
    <w:tblStylePr w:type="band1Vert">
      <w:tcPr>
        <w:shd w:val="clear" w:color="d0dfb2" w:themeColor="accent3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auto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- Accent 4"/>
    <w:basedOn w:val="68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auto"/>
      </w:tcPr>
    </w:tblStylePr>
    <w:tblStylePr w:type="band1Vert">
      <w:tcPr>
        <w:shd w:val="clear" w:color="c4b7d4" w:themeColor="accent4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auto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5"/>
    <w:basedOn w:val="68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uto"/>
      </w:tcPr>
    </w:tblStylePr>
    <w:tblStylePr w:type="band1Vert">
      <w:tcPr>
        <w:shd w:val="clear" w:color="acd8e4" w:themeColor="accent5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auto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6"/>
    <w:basedOn w:val="68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auto"/>
      </w:tcPr>
    </w:tblStylePr>
    <w:tblStylePr w:type="band1Vert">
      <w:tcPr>
        <w:shd w:val="clear" w:color="fbceaa" w:themeColor="accent6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auto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6 Colorful"/>
    <w:basedOn w:val="68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auto"/>
      </w:tcPr>
    </w:tblStylePr>
    <w:tblStylePr w:type="band1Vert"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9" w:customStyle="1">
    <w:name w:val="Grid Table 6 Colorful - Accent 1"/>
    <w:basedOn w:val="687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auto"/>
      </w:tcPr>
    </w:tblStylePr>
    <w:tblStylePr w:type="band1Vert"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0" w:customStyle="1">
    <w:name w:val="Grid Table 6 Colorful - Accent 2"/>
    <w:basedOn w:val="68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auto"/>
      </w:tcPr>
    </w:tblStylePr>
    <w:tblStylePr w:type="band1Vert"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1" w:customStyle="1">
    <w:name w:val="Grid Table 6 Colorful - Accent 3"/>
    <w:basedOn w:val="687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auto"/>
      </w:tcPr>
    </w:tblStylePr>
    <w:tblStylePr w:type="band1Vert"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2" w:customStyle="1">
    <w:name w:val="Grid Table 6 Colorful - Accent 4"/>
    <w:basedOn w:val="68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auto"/>
      </w:tcPr>
    </w:tblStylePr>
    <w:tblStylePr w:type="band1Vert"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3" w:customStyle="1">
    <w:name w:val="Grid Table 6 Colorful - Accent 5"/>
    <w:basedOn w:val="687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auto"/>
      </w:tcPr>
    </w:tblStylePr>
    <w:tblStylePr w:type="band1Vert"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4" w:customStyle="1">
    <w:name w:val="Grid Table 6 Colorful - Accent 6"/>
    <w:basedOn w:val="687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auto"/>
      </w:tcPr>
    </w:tblStylePr>
    <w:tblStylePr w:type="band1Vert"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5" w:customStyle="1">
    <w:name w:val="Grid Table 7 Colorful"/>
    <w:basedOn w:val="687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1"/>
    <w:basedOn w:val="687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auto"/>
      </w:tcPr>
    </w:tblStylePr>
    <w:tblStylePr w:type="band1Vert"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auto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2"/>
    <w:basedOn w:val="68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auto"/>
      </w:tcPr>
    </w:tblStylePr>
    <w:tblStylePr w:type="band1Vert"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3"/>
    <w:basedOn w:val="68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auto"/>
      </w:tcPr>
    </w:tblStylePr>
    <w:tblStylePr w:type="band1Vert"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4"/>
    <w:basedOn w:val="68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auto"/>
      </w:tcPr>
    </w:tblStylePr>
    <w:tblStylePr w:type="band1Vert"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7 Colorful - Accent 5"/>
    <w:basedOn w:val="687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auto"/>
      </w:tcPr>
    </w:tblStylePr>
    <w:tblStylePr w:type="band1Vert"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auto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6"/>
    <w:basedOn w:val="687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auto"/>
      </w:tcPr>
    </w:tblStylePr>
    <w:tblStylePr w:type="band1Vert"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auto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"/>
    <w:basedOn w:val="68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1"/>
    <w:basedOn w:val="68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2"/>
    <w:basedOn w:val="68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3"/>
    <w:basedOn w:val="68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4"/>
    <w:basedOn w:val="68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5"/>
    <w:basedOn w:val="68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6"/>
    <w:basedOn w:val="68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2"/>
    <w:basedOn w:val="687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1"/>
    <w:basedOn w:val="68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2"/>
    <w:basedOn w:val="68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3"/>
    <w:basedOn w:val="68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4"/>
    <w:basedOn w:val="68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5"/>
    <w:basedOn w:val="68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6"/>
    <w:basedOn w:val="68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6" w:customStyle="1">
    <w:name w:val="List Table 3"/>
    <w:basedOn w:val="68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1"/>
    <w:basedOn w:val="68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2"/>
    <w:basedOn w:val="68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3"/>
    <w:basedOn w:val="68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4"/>
    <w:basedOn w:val="68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5"/>
    <w:basedOn w:val="68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6"/>
    <w:basedOn w:val="68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"/>
    <w:basedOn w:val="68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1"/>
    <w:basedOn w:val="68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2"/>
    <w:basedOn w:val="68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3"/>
    <w:basedOn w:val="68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4"/>
    <w:basedOn w:val="68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5"/>
    <w:basedOn w:val="68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6"/>
    <w:basedOn w:val="68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5 Dark"/>
    <w:basedOn w:val="68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auto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1"/>
    <w:basedOn w:val="687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auto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2"/>
    <w:basedOn w:val="68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auto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3"/>
    <w:basedOn w:val="68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auto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4"/>
    <w:basedOn w:val="68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auto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5"/>
    <w:basedOn w:val="68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auto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6"/>
    <w:basedOn w:val="68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auto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6 Colorful"/>
    <w:basedOn w:val="68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8" w:customStyle="1">
    <w:name w:val="List Table 6 Colorful - Accent 1"/>
    <w:basedOn w:val="68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9" w:customStyle="1">
    <w:name w:val="List Table 6 Colorful - Accent 2"/>
    <w:basedOn w:val="68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0" w:customStyle="1">
    <w:name w:val="List Table 6 Colorful - Accent 3"/>
    <w:basedOn w:val="68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1" w:customStyle="1">
    <w:name w:val="List Table 6 Colorful - Accent 4"/>
    <w:basedOn w:val="68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2" w:customStyle="1">
    <w:name w:val="List Table 6 Colorful - Accent 5"/>
    <w:basedOn w:val="68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3" w:customStyle="1">
    <w:name w:val="List Table 6 Colorful - Accent 6"/>
    <w:basedOn w:val="68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4" w:customStyle="1">
    <w:name w:val="List Table 7 Colorful"/>
    <w:basedOn w:val="687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1"/>
    <w:basedOn w:val="687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2"/>
    <w:basedOn w:val="687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3"/>
    <w:basedOn w:val="687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auto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4"/>
    <w:basedOn w:val="687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7 Colorful - Accent 5"/>
    <w:basedOn w:val="687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auto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6"/>
    <w:basedOn w:val="687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auto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ned - Accent"/>
    <w:basedOn w:val="68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832" w:customStyle="1">
    <w:name w:val="Lined - Accent 1"/>
    <w:basedOn w:val="68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</w:style>
  <w:style w:type="table" w:styleId="833" w:customStyle="1">
    <w:name w:val="Lined - Accent 2"/>
    <w:basedOn w:val="68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</w:style>
  <w:style w:type="table" w:styleId="834" w:customStyle="1">
    <w:name w:val="Lined - Accent 3"/>
    <w:basedOn w:val="68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</w:style>
  <w:style w:type="table" w:styleId="835" w:customStyle="1">
    <w:name w:val="Lined - Accent 4"/>
    <w:basedOn w:val="68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</w:style>
  <w:style w:type="table" w:styleId="836" w:customStyle="1">
    <w:name w:val="Lined - Accent 5"/>
    <w:basedOn w:val="68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</w:style>
  <w:style w:type="table" w:styleId="837" w:customStyle="1">
    <w:name w:val="Lined - Accent 6"/>
    <w:basedOn w:val="68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</w:style>
  <w:style w:type="table" w:styleId="838" w:customStyle="1">
    <w:name w:val="Bordered &amp; Lined - Accent"/>
    <w:basedOn w:val="68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839" w:customStyle="1">
    <w:name w:val="Bordered &amp; Lined - Accent 1"/>
    <w:basedOn w:val="68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</w:style>
  <w:style w:type="table" w:styleId="840" w:customStyle="1">
    <w:name w:val="Bordered &amp; Lined - Accent 2"/>
    <w:basedOn w:val="68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</w:style>
  <w:style w:type="table" w:styleId="841" w:customStyle="1">
    <w:name w:val="Bordered &amp; Lined - Accent 3"/>
    <w:basedOn w:val="68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</w:style>
  <w:style w:type="table" w:styleId="842" w:customStyle="1">
    <w:name w:val="Bordered &amp; Lined - Accent 4"/>
    <w:basedOn w:val="68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</w:style>
  <w:style w:type="table" w:styleId="843" w:customStyle="1">
    <w:name w:val="Bordered &amp; Lined - Accent 5"/>
    <w:basedOn w:val="68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</w:style>
  <w:style w:type="table" w:styleId="844" w:customStyle="1">
    <w:name w:val="Bordered &amp; Lined - Accent 6"/>
    <w:basedOn w:val="68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</w:style>
  <w:style w:type="table" w:styleId="845" w:customStyle="1">
    <w:name w:val="Bordered"/>
    <w:basedOn w:val="687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6" w:customStyle="1">
    <w:name w:val="Bordered - Accent 1"/>
    <w:basedOn w:val="68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7" w:customStyle="1">
    <w:name w:val="Bordered - Accent 2"/>
    <w:basedOn w:val="68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8" w:customStyle="1">
    <w:name w:val="Bordered - Accent 3"/>
    <w:basedOn w:val="68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9" w:customStyle="1">
    <w:name w:val="Bordered - Accent 4"/>
    <w:basedOn w:val="68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0" w:customStyle="1">
    <w:name w:val="Bordered - Accent 5"/>
    <w:basedOn w:val="68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1" w:customStyle="1">
    <w:name w:val="Bordered - Accent 6"/>
    <w:basedOn w:val="68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52">
    <w:name w:val="footnote text"/>
    <w:basedOn w:val="676"/>
    <w:link w:val="853"/>
    <w:uiPriority w:val="99"/>
    <w:semiHidden/>
    <w:unhideWhenUsed/>
    <w:pPr>
      <w:spacing w:after="40"/>
    </w:pPr>
    <w:rPr>
      <w:sz w:val="18"/>
    </w:rPr>
  </w:style>
  <w:style w:type="character" w:styleId="853" w:customStyle="1">
    <w:name w:val="Текст сноски Знак"/>
    <w:link w:val="852"/>
    <w:uiPriority w:val="99"/>
    <w:rPr>
      <w:sz w:val="18"/>
    </w:rPr>
  </w:style>
  <w:style w:type="character" w:styleId="854">
    <w:name w:val="footnote reference"/>
    <w:basedOn w:val="686"/>
    <w:uiPriority w:val="99"/>
    <w:unhideWhenUsed/>
    <w:rPr>
      <w:vertAlign w:val="superscript"/>
    </w:rPr>
  </w:style>
  <w:style w:type="paragraph" w:styleId="855">
    <w:name w:val="endnote text"/>
    <w:basedOn w:val="676"/>
    <w:link w:val="856"/>
    <w:uiPriority w:val="99"/>
    <w:semiHidden/>
    <w:unhideWhenUsed/>
    <w:rPr>
      <w:sz w:val="20"/>
    </w:rPr>
  </w:style>
  <w:style w:type="character" w:styleId="856" w:customStyle="1">
    <w:name w:val="Текст концевой сноски Знак"/>
    <w:link w:val="855"/>
    <w:uiPriority w:val="99"/>
    <w:rPr>
      <w:sz w:val="20"/>
    </w:rPr>
  </w:style>
  <w:style w:type="character" w:styleId="857">
    <w:name w:val="endnote reference"/>
    <w:basedOn w:val="686"/>
    <w:uiPriority w:val="99"/>
    <w:semiHidden/>
    <w:unhideWhenUsed/>
    <w:rPr>
      <w:vertAlign w:val="superscript"/>
    </w:rPr>
  </w:style>
  <w:style w:type="paragraph" w:styleId="858">
    <w:name w:val="toc 1"/>
    <w:basedOn w:val="676"/>
    <w:next w:val="676"/>
    <w:uiPriority w:val="39"/>
    <w:unhideWhenUsed/>
    <w:pPr>
      <w:spacing w:after="57"/>
    </w:pPr>
  </w:style>
  <w:style w:type="paragraph" w:styleId="859">
    <w:name w:val="toc 2"/>
    <w:basedOn w:val="676"/>
    <w:next w:val="676"/>
    <w:uiPriority w:val="39"/>
    <w:unhideWhenUsed/>
    <w:pPr>
      <w:ind w:left="283"/>
      <w:spacing w:after="57"/>
    </w:pPr>
  </w:style>
  <w:style w:type="paragraph" w:styleId="860">
    <w:name w:val="toc 3"/>
    <w:basedOn w:val="676"/>
    <w:next w:val="676"/>
    <w:uiPriority w:val="39"/>
    <w:unhideWhenUsed/>
    <w:pPr>
      <w:ind w:left="567"/>
      <w:spacing w:after="57"/>
    </w:pPr>
  </w:style>
  <w:style w:type="paragraph" w:styleId="861">
    <w:name w:val="toc 4"/>
    <w:basedOn w:val="676"/>
    <w:next w:val="676"/>
    <w:uiPriority w:val="39"/>
    <w:unhideWhenUsed/>
    <w:pPr>
      <w:ind w:left="850"/>
      <w:spacing w:after="57"/>
    </w:pPr>
  </w:style>
  <w:style w:type="paragraph" w:styleId="862">
    <w:name w:val="toc 5"/>
    <w:basedOn w:val="676"/>
    <w:next w:val="676"/>
    <w:uiPriority w:val="39"/>
    <w:unhideWhenUsed/>
    <w:pPr>
      <w:ind w:left="1134"/>
      <w:spacing w:after="57"/>
    </w:pPr>
  </w:style>
  <w:style w:type="paragraph" w:styleId="863">
    <w:name w:val="toc 6"/>
    <w:basedOn w:val="676"/>
    <w:next w:val="676"/>
    <w:uiPriority w:val="39"/>
    <w:unhideWhenUsed/>
    <w:pPr>
      <w:ind w:left="1417"/>
      <w:spacing w:after="57"/>
    </w:pPr>
  </w:style>
  <w:style w:type="paragraph" w:styleId="864">
    <w:name w:val="toc 7"/>
    <w:basedOn w:val="676"/>
    <w:next w:val="676"/>
    <w:uiPriority w:val="39"/>
    <w:unhideWhenUsed/>
    <w:pPr>
      <w:ind w:left="1701"/>
      <w:spacing w:after="57"/>
    </w:pPr>
  </w:style>
  <w:style w:type="paragraph" w:styleId="865">
    <w:name w:val="toc 8"/>
    <w:basedOn w:val="676"/>
    <w:next w:val="676"/>
    <w:uiPriority w:val="39"/>
    <w:unhideWhenUsed/>
    <w:pPr>
      <w:ind w:left="1984"/>
      <w:spacing w:after="57"/>
    </w:pPr>
  </w:style>
  <w:style w:type="paragraph" w:styleId="866">
    <w:name w:val="toc 9"/>
    <w:basedOn w:val="676"/>
    <w:next w:val="676"/>
    <w:uiPriority w:val="39"/>
    <w:unhideWhenUsed/>
    <w:pPr>
      <w:ind w:left="2268"/>
      <w:spacing w:after="57"/>
    </w:pPr>
  </w:style>
  <w:style w:type="paragraph" w:styleId="867">
    <w:name w:val="TOC Heading"/>
    <w:uiPriority w:val="39"/>
    <w:unhideWhenUsed/>
  </w:style>
  <w:style w:type="paragraph" w:styleId="868">
    <w:name w:val="table of figures"/>
    <w:basedOn w:val="676"/>
    <w:next w:val="676"/>
    <w:uiPriority w:val="99"/>
    <w:unhideWhenUsed/>
  </w:style>
  <w:style w:type="paragraph" w:styleId="869" w:customStyle="1">
    <w:name w:val="заголовок 1"/>
    <w:basedOn w:val="676"/>
    <w:next w:val="876"/>
    <w:pPr>
      <w:jc w:val="center"/>
      <w:keepLines/>
      <w:keepNext/>
      <w:spacing w:before="480"/>
    </w:pPr>
    <w:rPr>
      <w:rFonts w:ascii="Arial" w:hAnsi="Arial"/>
      <w:b/>
      <w:caps/>
      <w:sz w:val="32"/>
    </w:rPr>
  </w:style>
  <w:style w:type="paragraph" w:styleId="870" w:customStyle="1">
    <w:name w:val="заголовок 2"/>
    <w:basedOn w:val="676"/>
    <w:next w:val="880"/>
    <w:pPr>
      <w:jc w:val="center"/>
      <w:keepLines/>
      <w:keepNext/>
      <w:spacing w:before="480"/>
    </w:pPr>
    <w:rPr>
      <w:rFonts w:ascii="Arial" w:hAnsi="Arial"/>
      <w:b/>
      <w:caps/>
      <w:sz w:val="28"/>
    </w:rPr>
  </w:style>
  <w:style w:type="paragraph" w:styleId="871" w:customStyle="1">
    <w:name w:val="заголовок 3"/>
    <w:basedOn w:val="676"/>
    <w:next w:val="676"/>
    <w:pPr>
      <w:ind w:firstLine="709"/>
      <w:jc w:val="both"/>
      <w:keepNext/>
      <w:spacing w:before="240" w:after="60" w:line="348" w:lineRule="auto"/>
    </w:pPr>
    <w:rPr>
      <w:rFonts w:ascii="Arial" w:hAnsi="Arial"/>
      <w:sz w:val="24"/>
    </w:rPr>
  </w:style>
  <w:style w:type="paragraph" w:styleId="872" w:customStyle="1">
    <w:name w:val="заголовок 4"/>
    <w:basedOn w:val="676"/>
    <w:next w:val="676"/>
    <w:pPr>
      <w:jc w:val="both"/>
      <w:keepNext/>
      <w:outlineLvl w:val="3"/>
    </w:pPr>
    <w:rPr>
      <w:b/>
      <w:sz w:val="28"/>
    </w:rPr>
  </w:style>
  <w:style w:type="character" w:styleId="873" w:customStyle="1">
    <w:name w:val="Основной шрифт"/>
  </w:style>
  <w:style w:type="paragraph" w:styleId="874" w:customStyle="1">
    <w:name w:val="текст сноски"/>
    <w:basedOn w:val="676"/>
    <w:pPr>
      <w:ind w:left="142" w:hanging="142"/>
      <w:jc w:val="both"/>
      <w:keepLines/>
      <w:spacing w:line="288" w:lineRule="auto"/>
    </w:pPr>
    <w:rPr>
      <w:sz w:val="28"/>
    </w:rPr>
  </w:style>
  <w:style w:type="paragraph" w:styleId="875" w:customStyle="1">
    <w:name w:val="Должность"/>
    <w:basedOn w:val="676"/>
    <w:next w:val="877"/>
    <w:pPr>
      <w:keepLines/>
      <w:keepNext/>
      <w:spacing w:before="180"/>
      <w:tabs>
        <w:tab w:val="left" w:pos="284" w:leader="none"/>
      </w:tabs>
    </w:pPr>
    <w:rPr>
      <w:rFonts w:ascii="Arial" w:hAnsi="Arial"/>
      <w:spacing w:val="-4"/>
      <w:sz w:val="24"/>
    </w:rPr>
  </w:style>
  <w:style w:type="paragraph" w:styleId="876" w:customStyle="1">
    <w:name w:val="Код"/>
    <w:basedOn w:val="869"/>
    <w:next w:val="870"/>
    <w:pPr>
      <w:spacing w:before="0"/>
    </w:pPr>
    <w:rPr>
      <w:caps w:val="0"/>
      <w:spacing w:val="10"/>
      <w:sz w:val="28"/>
    </w:rPr>
  </w:style>
  <w:style w:type="paragraph" w:styleId="877" w:customStyle="1">
    <w:name w:val="ФИО"/>
    <w:basedOn w:val="676"/>
    <w:next w:val="875"/>
    <w:pPr>
      <w:keepLines/>
      <w:tabs>
        <w:tab w:val="left" w:pos="284" w:leader="none"/>
        <w:tab w:val="left" w:pos="5670" w:leader="none"/>
        <w:tab w:val="left" w:pos="7513" w:leader="none"/>
      </w:tabs>
    </w:pPr>
    <w:rPr>
      <w:rFonts w:ascii="Arial" w:hAnsi="Arial"/>
      <w:sz w:val="24"/>
    </w:rPr>
  </w:style>
  <w:style w:type="paragraph" w:styleId="878" w:customStyle="1">
    <w:name w:val="оглл"/>
    <w:basedOn w:val="879"/>
    <w:pPr>
      <w:jc w:val="center"/>
      <w:spacing w:after="120"/>
    </w:pPr>
    <w:rPr>
      <w:rFonts w:ascii="Times New Roman" w:hAnsi="Times New Roman"/>
      <w:caps/>
      <w:spacing w:val="30"/>
      <w:sz w:val="36"/>
    </w:rPr>
  </w:style>
  <w:style w:type="paragraph" w:styleId="879" w:customStyle="1">
    <w:name w:val="оглавление 1"/>
    <w:basedOn w:val="676"/>
    <w:next w:val="676"/>
    <w:pPr>
      <w:jc w:val="both"/>
      <w:spacing w:line="264" w:lineRule="auto"/>
      <w:tabs>
        <w:tab w:val="right" w:pos="9355" w:leader="dot"/>
      </w:tabs>
    </w:pPr>
    <w:rPr>
      <w:rFonts w:ascii="Arial" w:hAnsi="Arial"/>
      <w:b/>
      <w:sz w:val="28"/>
    </w:rPr>
  </w:style>
  <w:style w:type="paragraph" w:styleId="880" w:customStyle="1">
    <w:name w:val="Поселки"/>
    <w:basedOn w:val="871"/>
    <w:next w:val="875"/>
    <w:pPr>
      <w:ind w:firstLine="0"/>
      <w:jc w:val="center"/>
      <w:spacing w:before="0" w:after="120" w:line="240" w:lineRule="auto"/>
    </w:pPr>
    <w:rPr>
      <w:sz w:val="20"/>
    </w:rPr>
  </w:style>
  <w:style w:type="paragraph" w:styleId="881">
    <w:name w:val="Header"/>
    <w:basedOn w:val="676"/>
    <w:link w:val="902"/>
    <w:uiPriority w:val="99"/>
    <w:pPr>
      <w:ind w:firstLine="709"/>
      <w:jc w:val="both"/>
      <w:spacing w:line="348" w:lineRule="auto"/>
      <w:tabs>
        <w:tab w:val="center" w:pos="4153" w:leader="none"/>
        <w:tab w:val="right" w:pos="8306" w:leader="none"/>
      </w:tabs>
    </w:pPr>
    <w:rPr>
      <w:sz w:val="28"/>
    </w:rPr>
  </w:style>
  <w:style w:type="paragraph" w:styleId="882">
    <w:name w:val="Footer"/>
    <w:basedOn w:val="676"/>
    <w:link w:val="726"/>
    <w:pPr>
      <w:ind w:firstLine="709"/>
      <w:jc w:val="both"/>
      <w:spacing w:line="348" w:lineRule="auto"/>
      <w:tabs>
        <w:tab w:val="center" w:pos="4153" w:leader="none"/>
        <w:tab w:val="right" w:pos="8306" w:leader="none"/>
      </w:tabs>
    </w:pPr>
    <w:rPr>
      <w:sz w:val="28"/>
    </w:rPr>
  </w:style>
  <w:style w:type="paragraph" w:styleId="883" w:customStyle="1">
    <w:name w:val="Heading"/>
    <w:rPr>
      <w:b/>
      <w:sz w:val="24"/>
    </w:rPr>
  </w:style>
  <w:style w:type="paragraph" w:styleId="884" w:customStyle="1">
    <w:name w:val="Preformat"/>
    <w:rPr>
      <w:rFonts w:ascii="Courier New" w:hAnsi="Courier New"/>
    </w:rPr>
  </w:style>
  <w:style w:type="paragraph" w:styleId="885">
    <w:name w:val="Title"/>
    <w:basedOn w:val="676"/>
    <w:link w:val="716"/>
    <w:qFormat/>
    <w:pPr>
      <w:ind w:firstLine="142"/>
      <w:jc w:val="center"/>
    </w:pPr>
    <w:rPr>
      <w:b/>
      <w:sz w:val="28"/>
    </w:rPr>
  </w:style>
  <w:style w:type="paragraph" w:styleId="886">
    <w:name w:val="Body Text Indent"/>
    <w:basedOn w:val="676"/>
    <w:pPr>
      <w:ind w:firstLine="5670"/>
    </w:pPr>
    <w:rPr>
      <w:b/>
    </w:rPr>
  </w:style>
  <w:style w:type="paragraph" w:styleId="887">
    <w:name w:val="List"/>
    <w:basedOn w:val="676"/>
    <w:rPr>
      <w:rFonts w:ascii="Arial" w:hAnsi="Arial"/>
      <w:i/>
      <w:sz w:val="20"/>
    </w:rPr>
  </w:style>
  <w:style w:type="paragraph" w:styleId="888">
    <w:name w:val="Body Text"/>
    <w:basedOn w:val="676"/>
    <w:pPr>
      <w:jc w:val="both"/>
    </w:pPr>
  </w:style>
  <w:style w:type="paragraph" w:styleId="889" w:customStyle="1">
    <w:name w:val="Nonformat"/>
    <w:basedOn w:val="676"/>
    <w:rPr>
      <w:rFonts w:ascii="consultant" w:hAnsi="consultant"/>
      <w:sz w:val="20"/>
    </w:rPr>
  </w:style>
  <w:style w:type="character" w:styleId="890">
    <w:name w:val="page number"/>
    <w:basedOn w:val="686"/>
  </w:style>
  <w:style w:type="table" w:styleId="891">
    <w:name w:val="Table Grid"/>
    <w:basedOn w:val="687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92">
    <w:name w:val="Body Text 2"/>
    <w:basedOn w:val="676"/>
    <w:pPr>
      <w:jc w:val="center"/>
      <w:spacing w:line="348" w:lineRule="auto"/>
    </w:pPr>
    <w:rPr>
      <w:sz w:val="24"/>
    </w:rPr>
  </w:style>
  <w:style w:type="paragraph" w:styleId="893">
    <w:name w:val="Balloon Text"/>
    <w:basedOn w:val="676"/>
    <w:semiHidden/>
    <w:rPr>
      <w:rFonts w:ascii="Tahoma" w:hAnsi="Tahoma" w:cs="Tahoma"/>
      <w:sz w:val="16"/>
      <w:szCs w:val="16"/>
    </w:rPr>
  </w:style>
  <w:style w:type="paragraph" w:styleId="894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895">
    <w:name w:val="Body Text Indent 2"/>
    <w:basedOn w:val="676"/>
    <w:pPr>
      <w:ind w:left="283"/>
      <w:spacing w:after="120" w:line="480" w:lineRule="auto"/>
    </w:pPr>
  </w:style>
  <w:style w:type="paragraph" w:styleId="896" w:customStyle="1">
    <w:name w:val="ConsPlusTitle"/>
    <w:pPr>
      <w:widowControl w:val="off"/>
    </w:pPr>
    <w:rPr>
      <w:b/>
      <w:bCs/>
      <w:sz w:val="28"/>
      <w:szCs w:val="28"/>
    </w:rPr>
  </w:style>
  <w:style w:type="paragraph" w:styleId="897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898">
    <w:name w:val="Hyperlink"/>
    <w:basedOn w:val="686"/>
    <w:rPr>
      <w:color w:val="0000ff"/>
      <w:u w:val="single"/>
    </w:rPr>
  </w:style>
  <w:style w:type="paragraph" w:styleId="899" w:customStyle="1">
    <w:name w:val="ConsPlusCell"/>
    <w:uiPriority w:val="99"/>
    <w:rPr>
      <w:rFonts w:eastAsiaTheme="minorHAnsi"/>
      <w:sz w:val="28"/>
      <w:szCs w:val="28"/>
      <w:lang w:eastAsia="en-US"/>
    </w:rPr>
  </w:style>
  <w:style w:type="paragraph" w:styleId="900">
    <w:name w:val="Normal (Web)"/>
    <w:basedOn w:val="676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901" w:customStyle="1">
    <w:name w:val="Standard"/>
    <w:rPr>
      <w:sz w:val="26"/>
    </w:rPr>
  </w:style>
  <w:style w:type="character" w:styleId="902" w:customStyle="1">
    <w:name w:val="Верхний колонтитул Знак"/>
    <w:basedOn w:val="686"/>
    <w:link w:val="881"/>
    <w:uiPriority w:val="99"/>
    <w:rPr>
      <w:sz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95154F-C736-42AC-9659-16D85409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>Elcom Ltd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ппррррфР</dc:title>
  <dc:creator>Гуреева</dc:creator>
  <cp:revision>41</cp:revision>
  <dcterms:created xsi:type="dcterms:W3CDTF">2021-03-31T08:41:00Z</dcterms:created>
  <dcterms:modified xsi:type="dcterms:W3CDTF">2024-04-09T13:18:45Z</dcterms:modified>
</cp:coreProperties>
</file>